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Spacing w:w="0"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9000"/>
      </w:tblGrid>
      <w:tr w:rsidR="00061278" w14:paraId="273D854F" w14:textId="77777777" w:rsidTr="00061278">
        <w:trPr>
          <w:trHeight w:val="270"/>
          <w:tblCellSpacing w:w="0" w:type="dxa"/>
          <w:jc w:val="center"/>
        </w:trPr>
        <w:tc>
          <w:tcPr>
            <w:tcW w:w="0" w:type="auto"/>
            <w:tcBorders>
              <w:top w:val="nil"/>
              <w:left w:val="nil"/>
              <w:bottom w:val="nil"/>
              <w:right w:val="nil"/>
            </w:tcBorders>
            <w:shd w:val="clear" w:color="auto" w:fill="308066"/>
            <w:vAlign w:val="center"/>
            <w:hideMark/>
          </w:tcPr>
          <w:p w14:paraId="5D552A1D" w14:textId="77777777" w:rsidR="00061278" w:rsidRDefault="00061278">
            <w:pPr>
              <w:jc w:val="center"/>
              <w:rPr>
                <w:rFonts w:ascii="Verdana" w:eastAsia="Times New Roman" w:hAnsi="Verdana"/>
                <w:b/>
                <w:bCs/>
                <w:color w:val="FFFFFF"/>
                <w:sz w:val="20"/>
                <w:szCs w:val="20"/>
              </w:rPr>
            </w:pPr>
            <w:r>
              <w:rPr>
                <w:rFonts w:ascii="Verdana" w:eastAsia="Times New Roman" w:hAnsi="Verdana"/>
                <w:b/>
                <w:bCs/>
                <w:color w:val="FFFFFF"/>
                <w:sz w:val="20"/>
                <w:szCs w:val="20"/>
              </w:rPr>
              <w:t> </w:t>
            </w:r>
          </w:p>
        </w:tc>
      </w:tr>
      <w:tr w:rsidR="00061278" w14:paraId="13205283" w14:textId="77777777" w:rsidTr="00061278">
        <w:trPr>
          <w:tblCellSpacing w:w="0" w:type="dxa"/>
          <w:jc w:val="center"/>
        </w:trPr>
        <w:tc>
          <w:tcPr>
            <w:tcW w:w="0" w:type="auto"/>
            <w:tcBorders>
              <w:top w:val="nil"/>
              <w:left w:val="nil"/>
              <w:bottom w:val="nil"/>
              <w:right w:val="nil"/>
            </w:tcBorders>
            <w:hideMark/>
          </w:tcPr>
          <w:tbl>
            <w:tblPr>
              <w:tblW w:w="5000" w:type="pct"/>
              <w:jc w:val="center"/>
              <w:tblCellSpacing w:w="0" w:type="dxa"/>
              <w:shd w:val="clear" w:color="auto" w:fill="F3F2E4"/>
              <w:tblCellMar>
                <w:top w:w="75" w:type="dxa"/>
                <w:left w:w="75" w:type="dxa"/>
                <w:bottom w:w="75" w:type="dxa"/>
                <w:right w:w="75" w:type="dxa"/>
              </w:tblCellMar>
              <w:tblLook w:val="04A0" w:firstRow="1" w:lastRow="0" w:firstColumn="1" w:lastColumn="0" w:noHBand="0" w:noVBand="1"/>
            </w:tblPr>
            <w:tblGrid>
              <w:gridCol w:w="9000"/>
            </w:tblGrid>
            <w:tr w:rsidR="00061278" w14:paraId="00831598" w14:textId="77777777">
              <w:trPr>
                <w:tblCellSpacing w:w="0" w:type="dxa"/>
                <w:jc w:val="center"/>
              </w:trPr>
              <w:tc>
                <w:tcPr>
                  <w:tcW w:w="5000" w:type="pct"/>
                  <w:shd w:val="clear" w:color="auto" w:fill="F3F2E4"/>
                  <w:hideMark/>
                </w:tcPr>
                <w:tbl>
                  <w:tblPr>
                    <w:tblW w:w="5000" w:type="pct"/>
                    <w:tblCellSpacing w:w="15" w:type="dxa"/>
                    <w:tblLook w:val="04A0" w:firstRow="1" w:lastRow="0" w:firstColumn="1" w:lastColumn="0" w:noHBand="0" w:noVBand="1"/>
                  </w:tblPr>
                  <w:tblGrid>
                    <w:gridCol w:w="8850"/>
                  </w:tblGrid>
                  <w:tr w:rsidR="00061278" w14:paraId="2AD5DE9C" w14:textId="77777777">
                    <w:trPr>
                      <w:tblCellSpacing w:w="15" w:type="dxa"/>
                    </w:trPr>
                    <w:tc>
                      <w:tcPr>
                        <w:tcW w:w="0" w:type="auto"/>
                        <w:tcMar>
                          <w:top w:w="15" w:type="dxa"/>
                          <w:left w:w="15" w:type="dxa"/>
                          <w:bottom w:w="15" w:type="dxa"/>
                          <w:right w:w="15" w:type="dxa"/>
                        </w:tcMar>
                        <w:vAlign w:val="center"/>
                        <w:hideMark/>
                      </w:tcPr>
                      <w:p w14:paraId="7E2FFB51" w14:textId="77777777" w:rsidR="00061278" w:rsidRDefault="00061278">
                        <w:pPr>
                          <w:pStyle w:val="NormalWeb"/>
                          <w:jc w:val="right"/>
                        </w:pPr>
                        <w:r>
                          <w:rPr>
                            <w:rStyle w:val="Strong"/>
                            <w:rFonts w:ascii="Trebuchet MS" w:hAnsi="Trebuchet MS"/>
                            <w:sz w:val="21"/>
                            <w:szCs w:val="21"/>
                          </w:rPr>
                          <w:t>April 14, 2022</w:t>
                        </w:r>
                      </w:p>
                      <w:p w14:paraId="11C9478B" w14:textId="77777777" w:rsidR="00061278" w:rsidRDefault="00061278" w:rsidP="00061278">
                        <w:pPr>
                          <w:jc w:val="center"/>
                          <w:rPr>
                            <w:rFonts w:eastAsia="Times New Roman"/>
                          </w:rPr>
                        </w:pPr>
                        <w:r>
                          <w:rPr>
                            <w:rFonts w:eastAsia="Times New Roman"/>
                          </w:rPr>
                          <w:pict w14:anchorId="42BC603F">
                            <v:rect id="_x0000_i1025" style="width:468pt;height:3pt" o:hralign="center" o:hrstd="t" o:hr="t" fillcolor="#a0a0a0" stroked="f"/>
                          </w:pict>
                        </w:r>
                      </w:p>
                      <w:tbl>
                        <w:tblPr>
                          <w:tblpPr w:leftFromText="45" w:rightFromText="405" w:topFromText="240" w:bottomFromText="240" w:vertAnchor="text"/>
                          <w:tblW w:w="1365" w:type="dxa"/>
                          <w:tblCellSpacing w:w="15" w:type="dxa"/>
                          <w:tblLook w:val="04A0" w:firstRow="1" w:lastRow="0" w:firstColumn="1" w:lastColumn="0" w:noHBand="0" w:noVBand="1"/>
                        </w:tblPr>
                        <w:tblGrid>
                          <w:gridCol w:w="1470"/>
                        </w:tblGrid>
                        <w:tr w:rsidR="00061278" w14:paraId="7953F255" w14:textId="77777777">
                          <w:trPr>
                            <w:tblCellSpacing w:w="15" w:type="dxa"/>
                          </w:trPr>
                          <w:tc>
                            <w:tcPr>
                              <w:tcW w:w="0" w:type="auto"/>
                              <w:tcMar>
                                <w:top w:w="15" w:type="dxa"/>
                                <w:left w:w="15" w:type="dxa"/>
                                <w:bottom w:w="15" w:type="dxa"/>
                                <w:right w:w="15" w:type="dxa"/>
                              </w:tcMar>
                              <w:vAlign w:val="center"/>
                              <w:hideMark/>
                            </w:tcPr>
                            <w:p w14:paraId="71CA4F5F" w14:textId="1DA6614F" w:rsidR="00061278" w:rsidRDefault="00061278">
                              <w:pPr>
                                <w:pStyle w:val="image1"/>
                                <w:rPr>
                                  <w:rFonts w:eastAsia="Times New Roman"/>
                                </w:rPr>
                              </w:pPr>
                              <w:r>
                                <w:rPr>
                                  <w:rFonts w:eastAsia="Times New Roman"/>
                                  <w:noProof/>
                                </w:rPr>
                                <w:drawing>
                                  <wp:inline distT="0" distB="0" distL="0" distR="0" wp14:anchorId="4FC52E8C" wp14:editId="35692467">
                                    <wp:extent cx="866775" cy="866775"/>
                                    <wp:effectExtent l="0" t="0" r="9525" b="9525"/>
                                    <wp:docPr id="12" name="Picture 1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smiling for the camera&#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r>
                      </w:tbl>
                      <w:tbl>
                        <w:tblPr>
                          <w:tblpPr w:leftFromText="45" w:rightFromText="45" w:topFromText="240" w:bottomFromText="240" w:vertAnchor="text" w:tblpXSpec="right" w:tblpYSpec="center"/>
                          <w:tblW w:w="1875" w:type="dxa"/>
                          <w:tblCellSpacing w:w="15" w:type="dxa"/>
                          <w:tblLook w:val="04A0" w:firstRow="1" w:lastRow="0" w:firstColumn="1" w:lastColumn="0" w:noHBand="0" w:noVBand="1"/>
                        </w:tblPr>
                        <w:tblGrid>
                          <w:gridCol w:w="2006"/>
                        </w:tblGrid>
                        <w:tr w:rsidR="00061278" w14:paraId="6100B7F1" w14:textId="77777777">
                          <w:trPr>
                            <w:tblCellSpacing w:w="15" w:type="dxa"/>
                          </w:trPr>
                          <w:tc>
                            <w:tcPr>
                              <w:tcW w:w="0" w:type="auto"/>
                              <w:tcMar>
                                <w:top w:w="15" w:type="dxa"/>
                                <w:left w:w="15" w:type="dxa"/>
                                <w:bottom w:w="15" w:type="dxa"/>
                                <w:right w:w="15" w:type="dxa"/>
                              </w:tcMar>
                              <w:vAlign w:val="center"/>
                              <w:hideMark/>
                            </w:tcPr>
                            <w:tbl>
                              <w:tblPr>
                                <w:tblW w:w="5000" w:type="pct"/>
                                <w:tblBorders>
                                  <w:top w:val="double" w:sz="2" w:space="0" w:color="B2B2B2"/>
                                  <w:left w:val="double" w:sz="2" w:space="0" w:color="B2B2B2"/>
                                  <w:bottom w:val="double" w:sz="2" w:space="0" w:color="B2B2B2"/>
                                  <w:right w:val="double" w:sz="2" w:space="0" w:color="B2B2B2"/>
                                </w:tblBorders>
                                <w:tblLook w:val="04A0" w:firstRow="1" w:lastRow="0" w:firstColumn="1" w:lastColumn="0" w:noHBand="0" w:noVBand="1"/>
                              </w:tblPr>
                              <w:tblGrid>
                                <w:gridCol w:w="1900"/>
                              </w:tblGrid>
                              <w:tr w:rsidR="00061278" w14:paraId="30066A17" w14:textId="77777777">
                                <w:trPr>
                                  <w:trHeight w:val="750"/>
                                </w:trPr>
                                <w:tc>
                                  <w:tcPr>
                                    <w:tcW w:w="1500" w:type="dxa"/>
                                    <w:tcBorders>
                                      <w:top w:val="single" w:sz="6" w:space="0" w:color="BFBFBF"/>
                                      <w:left w:val="single" w:sz="6" w:space="0" w:color="BFBFBF"/>
                                      <w:bottom w:val="single" w:sz="6" w:space="0" w:color="BFBFBF"/>
                                      <w:right w:val="single" w:sz="6" w:space="0" w:color="BFBFBF"/>
                                    </w:tcBorders>
                                    <w:shd w:val="clear" w:color="auto" w:fill="007E66"/>
                                    <w:tcMar>
                                      <w:top w:w="96" w:type="dxa"/>
                                      <w:left w:w="96" w:type="dxa"/>
                                      <w:bottom w:w="96" w:type="dxa"/>
                                      <w:right w:w="96" w:type="dxa"/>
                                    </w:tcMar>
                                    <w:hideMark/>
                                  </w:tcPr>
                                  <w:tbl>
                                    <w:tblPr>
                                      <w:tblW w:w="1500" w:type="dxa"/>
                                      <w:jc w:val="center"/>
                                      <w:tblBorders>
                                        <w:top w:val="double" w:sz="2" w:space="0" w:color="B2B2B2"/>
                                        <w:left w:val="double" w:sz="2" w:space="0" w:color="B2B2B2"/>
                                        <w:bottom w:val="double" w:sz="2" w:space="0" w:color="B2B2B2"/>
                                        <w:right w:val="double" w:sz="2" w:space="0" w:color="B2B2B2"/>
                                      </w:tblBorders>
                                      <w:tblLook w:val="04A0" w:firstRow="1" w:lastRow="0" w:firstColumn="1" w:lastColumn="0" w:noHBand="0" w:noVBand="1"/>
                                    </w:tblPr>
                                    <w:tblGrid>
                                      <w:gridCol w:w="1692"/>
                                    </w:tblGrid>
                                    <w:tr w:rsidR="00061278" w14:paraId="3FEB8CEC" w14:textId="77777777">
                                      <w:trPr>
                                        <w:jc w:val="center"/>
                                      </w:trPr>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2484ACC7" w14:textId="21AFE7DB" w:rsidR="00061278" w:rsidRDefault="00061278">
                                          <w:pPr>
                                            <w:jc w:val="center"/>
                                            <w:rPr>
                                              <w:rFonts w:eastAsia="Times New Roman"/>
                                            </w:rPr>
                                          </w:pPr>
                                          <w:r>
                                            <w:rPr>
                                              <w:rFonts w:eastAsia="Times New Roman"/>
                                              <w:noProof/>
                                              <w:color w:val="0000FF"/>
                                            </w:rPr>
                                            <w:drawing>
                                              <wp:inline distT="0" distB="0" distL="0" distR="0" wp14:anchorId="5A978CA5" wp14:editId="2312C22C">
                                                <wp:extent cx="952500" cy="628650"/>
                                                <wp:effectExtent l="0" t="0" r="0" b="0"/>
                                                <wp:docPr id="11" name="Picture 11" descr="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628650"/>
                                                        </a:xfrm>
                                                        <a:prstGeom prst="rect">
                                                          <a:avLst/>
                                                        </a:prstGeom>
                                                        <a:noFill/>
                                                        <a:ln>
                                                          <a:noFill/>
                                                        </a:ln>
                                                      </pic:spPr>
                                                    </pic:pic>
                                                  </a:graphicData>
                                                </a:graphic>
                                              </wp:inline>
                                            </w:drawing>
                                          </w:r>
                                        </w:p>
                                        <w:p w14:paraId="10E5188D" w14:textId="77777777" w:rsidR="00061278" w:rsidRDefault="00061278">
                                          <w:pPr>
                                            <w:shd w:val="clear" w:color="auto" w:fill="F7F7F7"/>
                                            <w:jc w:val="center"/>
                                            <w:rPr>
                                              <w:rFonts w:eastAsia="Times New Roman"/>
                                              <w:color w:val="333333"/>
                                              <w:sz w:val="17"/>
                                              <w:szCs w:val="17"/>
                                            </w:rPr>
                                          </w:pPr>
                                          <w:r>
                                            <w:rPr>
                                              <w:rStyle w:val="Strong"/>
                                              <w:rFonts w:eastAsia="Times New Roman"/>
                                              <w:color w:val="007E66"/>
                                              <w:sz w:val="15"/>
                                              <w:szCs w:val="15"/>
                                            </w:rPr>
                                            <w:t>1,085 people answered this week -see how you rated!</w:t>
                                          </w:r>
                                        </w:p>
                                      </w:tc>
                                    </w:tr>
                                  </w:tbl>
                                  <w:p w14:paraId="4A8A2050" w14:textId="77777777" w:rsidR="00061278" w:rsidRDefault="00061278">
                                    <w:pPr>
                                      <w:jc w:val="center"/>
                                      <w:rPr>
                                        <w:rFonts w:ascii="Times New Roman" w:eastAsia="Times New Roman" w:hAnsi="Times New Roman" w:cs="Times New Roman"/>
                                        <w:sz w:val="20"/>
                                        <w:szCs w:val="20"/>
                                      </w:rPr>
                                    </w:pPr>
                                  </w:p>
                                </w:tc>
                              </w:tr>
                            </w:tbl>
                            <w:p w14:paraId="0120C3B5" w14:textId="77777777" w:rsidR="00061278" w:rsidRDefault="00061278">
                              <w:pPr>
                                <w:rPr>
                                  <w:rFonts w:ascii="Times New Roman" w:eastAsia="Times New Roman" w:hAnsi="Times New Roman" w:cs="Times New Roman"/>
                                  <w:sz w:val="20"/>
                                  <w:szCs w:val="20"/>
                                </w:rPr>
                              </w:pPr>
                            </w:p>
                          </w:tc>
                        </w:tr>
                      </w:tbl>
                      <w:p w14:paraId="739D7370" w14:textId="77777777" w:rsidR="00061278" w:rsidRDefault="00061278">
                        <w:pPr>
                          <w:pStyle w:val="NormalWeb"/>
                        </w:pPr>
                        <w:r>
                          <w:rPr>
                            <w:rStyle w:val="Strong"/>
                            <w:color w:val="000000"/>
                            <w:sz w:val="27"/>
                            <w:szCs w:val="27"/>
                          </w:rPr>
                          <w:t>President's Message: Dr. Leslie Algase</w:t>
                        </w:r>
                        <w:r>
                          <w:br/>
                          <w:t>I read with interest this weekend, an article in the Annals of Internal Medicine (Vol 174n No. 12 Dec 2021 pp 1658-65) entitled  “</w:t>
                        </w:r>
                        <w:hyperlink r:id="rId8" w:history="1">
                          <w:r>
                            <w:rPr>
                              <w:rStyle w:val="Hyperlink"/>
                              <w:color w:val="007E66"/>
                            </w:rPr>
                            <w:t>Trends in Outpatient Care in Medicare Beneficiaries and Implications for Primary Care, 2000-2019</w:t>
                          </w:r>
                        </w:hyperlink>
                        <w:r>
                          <w:t>”,  which found that “Outpatient care for Medicare beneficiaries has shifted toward more specialist care received from more physicians without increased primary care contact.”  A median PCP’s panel saw 52 other physicians in 2000, but by 2019 this had increased to 95!  The authors explained this by discussing the complexities of sicker patients, the use of team-based care which causes other providers to “cover” patients and don’t know them as well, and the increase in pressures on PCP with time limitations which are exacerbated by the limitations in reimbursements for cognitive services.</w:t>
                        </w:r>
                      </w:p>
                      <w:p w14:paraId="7A6281A6" w14:textId="77777777" w:rsidR="00061278" w:rsidRDefault="00061278">
                        <w:pPr>
                          <w:pStyle w:val="NormalWeb"/>
                        </w:pPr>
                        <w:r>
                          <w:t>These things are all true, but the first thing that popped into my head to explain this result was the care silos that we have created in our health systems.   I have spent most of my career in a practice where we took care of our own inpatients.  When it became too onerous, we rotated the clinician rounding and gave them enough time out of the office to do this and still maintain a reasonable lifestyle. Eventually, both the reimbursement and the hospital regulations pushed us into an entirely outpatient practice. This contributes to the above findings in several ways.  First of all, referrals are made by hospitalists without consulting the PCP, which may disrupt existing specialist relationships with the patient.  Second, not rounding caused us to lose our friendships and first-hand knowledge of the skill sets of our specialist colleagues and therefore makes our referrals less targeted, consistent, and useful. </w:t>
                        </w:r>
                      </w:p>
                      <w:p w14:paraId="3014C826" w14:textId="77777777" w:rsidR="00061278" w:rsidRDefault="00061278">
                        <w:pPr>
                          <w:pStyle w:val="NormalWeb"/>
                        </w:pPr>
                        <w:r>
                          <w:t>Although I am aware that this ship has sailed and we will not lure the outpatient docs back into the hospital, I do think we have to be more creative about making our teams include the hospitalists and find a way to connect individual hospitalists to practices so there are better lines of communication.  That would also help in getting insight into specialist referrals and coordinating them better.  We need to reinvent the “Doctor’s lounge” and find innovative ways to get to know each other better.  Getting involved in NYACP events is a good first step, but also finding ways in your own system to connect people is critical. </w:t>
                        </w:r>
                      </w:p>
                      <w:p w14:paraId="284F239C" w14:textId="77777777" w:rsidR="00061278" w:rsidRDefault="00061278">
                        <w:pPr>
                          <w:pStyle w:val="NormalWeb"/>
                        </w:pPr>
                        <w:r>
                          <w:t>In other news, the NYS Budget passed on Saturday. There were several wins for our advocacy! </w:t>
                        </w:r>
                      </w:p>
                      <w:p w14:paraId="7F15EE49" w14:textId="77777777" w:rsidR="00061278" w:rsidRDefault="00061278">
                        <w:pPr>
                          <w:pStyle w:val="NormalWeb"/>
                        </w:pPr>
                        <w:r>
                          <w:t>Here is a summary of the highlights:</w:t>
                        </w:r>
                      </w:p>
                      <w:p w14:paraId="076365D4" w14:textId="77777777" w:rsidR="00061278" w:rsidRDefault="00061278" w:rsidP="00CA50A9">
                        <w:pPr>
                          <w:numPr>
                            <w:ilvl w:val="0"/>
                            <w:numId w:val="1"/>
                          </w:numPr>
                          <w:spacing w:before="100" w:beforeAutospacing="1" w:after="100" w:afterAutospacing="1"/>
                          <w:rPr>
                            <w:rFonts w:eastAsia="Times New Roman"/>
                          </w:rPr>
                        </w:pPr>
                        <w:r>
                          <w:rPr>
                            <w:rFonts w:eastAsia="Times New Roman"/>
                          </w:rPr>
                          <w:t xml:space="preserve">Telehealth payment parity was included in the final budget! The bill language states that insurers who provide comprehensive coverage for health care services “shall reimburse covered services delivered by means of telehealth in the same basis, at the same rate, </w:t>
                        </w:r>
                        <w:r>
                          <w:rPr>
                            <w:rFonts w:eastAsia="Times New Roman"/>
                          </w:rPr>
                          <w:lastRenderedPageBreak/>
                          <w:t>and to the same extent that such services are reimbursed when delivered in person.”</w:t>
                        </w:r>
                        <w:r>
                          <w:rPr>
                            <w:rFonts w:eastAsia="Times New Roman"/>
                          </w:rPr>
                          <w:br/>
                          <w:t> </w:t>
                        </w:r>
                      </w:p>
                      <w:p w14:paraId="0B461A82" w14:textId="77777777" w:rsidR="00061278" w:rsidRDefault="00061278" w:rsidP="00CA50A9">
                        <w:pPr>
                          <w:numPr>
                            <w:ilvl w:val="0"/>
                            <w:numId w:val="1"/>
                          </w:numPr>
                          <w:spacing w:before="100" w:beforeAutospacing="1" w:after="100" w:afterAutospacing="1"/>
                          <w:rPr>
                            <w:rFonts w:eastAsia="Times New Roman"/>
                          </w:rPr>
                        </w:pPr>
                        <w:r>
                          <w:rPr>
                            <w:rFonts w:eastAsia="Times New Roman"/>
                          </w:rPr>
                          <w:t>Funding to support medical school loan repayments under the Doctors across NY program (DANY) was increased to $16M.</w:t>
                        </w:r>
                        <w:r>
                          <w:rPr>
                            <w:rFonts w:eastAsia="Times New Roman"/>
                          </w:rPr>
                          <w:br/>
                          <w:t> </w:t>
                        </w:r>
                      </w:p>
                      <w:p w14:paraId="1B73B250" w14:textId="77777777" w:rsidR="00061278" w:rsidRDefault="00061278" w:rsidP="00CA50A9">
                        <w:pPr>
                          <w:numPr>
                            <w:ilvl w:val="0"/>
                            <w:numId w:val="1"/>
                          </w:numPr>
                          <w:spacing w:before="100" w:beforeAutospacing="1" w:after="100" w:afterAutospacing="1"/>
                          <w:rPr>
                            <w:rFonts w:eastAsia="Times New Roman"/>
                          </w:rPr>
                        </w:pPr>
                        <w:r>
                          <w:rPr>
                            <w:rFonts w:eastAsia="Times New Roman"/>
                          </w:rPr>
                          <w:t>NYS continued its support of the Excess Medical Liability Insurance Program by extending funding for twelve months.</w:t>
                        </w:r>
                        <w:r>
                          <w:rPr>
                            <w:rFonts w:eastAsia="Times New Roman"/>
                          </w:rPr>
                          <w:br/>
                          <w:t> </w:t>
                        </w:r>
                      </w:p>
                      <w:p w14:paraId="408C6CAC" w14:textId="77777777" w:rsidR="00061278" w:rsidRDefault="00061278">
                        <w:pPr>
                          <w:pStyle w:val="NormalWeb"/>
                        </w:pPr>
                        <w:r>
                          <w:t xml:space="preserve">A huge thank you to our HPP Committee and its chair </w:t>
                        </w:r>
                        <w:r>
                          <w:rPr>
                            <w:rStyle w:val="Strong"/>
                          </w:rPr>
                          <w:t>Kellin A. King, MD, FACP</w:t>
                        </w:r>
                        <w:r>
                          <w:t xml:space="preserve"> for all the time and effort spent on lobbying the legislature on our behalf.</w:t>
                        </w:r>
                      </w:p>
                      <w:p w14:paraId="6631D281" w14:textId="77777777" w:rsidR="00061278" w:rsidRDefault="00061278">
                        <w:pPr>
                          <w:pStyle w:val="NormalWeb"/>
                        </w:pPr>
                        <w:r>
                          <w:t xml:space="preserve">We are looking forward to hosting the first in-person poster contest and doctor's dilemma competition in 2 years on May 27th.  We have over 275 abstracts submitted, which is a NYACP record!  If you are interested in judging, please </w:t>
                        </w:r>
                        <w:hyperlink r:id="rId9" w:history="1">
                          <w:r>
                            <w:rPr>
                              <w:rStyle w:val="Hyperlink"/>
                              <w:color w:val="007E66"/>
                            </w:rPr>
                            <w:t>contact Karen LaBello</w:t>
                          </w:r>
                        </w:hyperlink>
                        <w:r>
                          <w:t>. </w:t>
                        </w:r>
                      </w:p>
                      <w:p w14:paraId="20659EC5" w14:textId="77777777" w:rsidR="00061278" w:rsidRDefault="00061278">
                        <w:pPr>
                          <w:pStyle w:val="NormalWeb"/>
                        </w:pPr>
                        <w:r>
                          <w:t xml:space="preserve">This month NYACP will review all of our committees and activities as the Presidential transition occurs. If you are </w:t>
                        </w:r>
                        <w:hyperlink r:id="rId10" w:history="1">
                          <w:r>
                            <w:rPr>
                              <w:rStyle w:val="Hyperlink"/>
                              <w:color w:val="007E66"/>
                            </w:rPr>
                            <w:t>interested in getting more involved</w:t>
                          </w:r>
                        </w:hyperlink>
                        <w:r>
                          <w:t xml:space="preserve"> in Chapter activities, consider attending a committee or task force meeting as an “invited guest” to learn about activities. For more information on this, please email </w:t>
                        </w:r>
                        <w:hyperlink r:id="rId11" w:history="1">
                          <w:r>
                            <w:rPr>
                              <w:rStyle w:val="Hyperlink"/>
                              <w:color w:val="007E66"/>
                            </w:rPr>
                            <w:t>info@nyacp.org</w:t>
                          </w:r>
                        </w:hyperlink>
                        <w:r>
                          <w:t xml:space="preserve"> or </w:t>
                        </w:r>
                        <w:hyperlink r:id="rId12" w:history="1">
                          <w:r>
                            <w:rPr>
                              <w:rStyle w:val="Hyperlink"/>
                              <w:color w:val="007E66"/>
                            </w:rPr>
                            <w:t>governors@nyacp.org</w:t>
                          </w:r>
                        </w:hyperlink>
                        <w:r>
                          <w:t>.</w:t>
                        </w:r>
                      </w:p>
                      <w:p w14:paraId="7588A15D" w14:textId="77777777" w:rsidR="00061278" w:rsidRDefault="00061278">
                        <w:pPr>
                          <w:pStyle w:val="NormalWeb"/>
                        </w:pPr>
                        <w:r>
                          <w:t>Please stay safe! Keep those masks on in indoor spaces!</w:t>
                        </w:r>
                      </w:p>
                      <w:p w14:paraId="15A356A9" w14:textId="77777777" w:rsidR="00061278" w:rsidRDefault="00061278">
                        <w:pPr>
                          <w:pStyle w:val="NormalWeb"/>
                        </w:pPr>
                        <w:r>
                          <w:t>Leslie  </w:t>
                        </w:r>
                      </w:p>
                      <w:p w14:paraId="36405E32" w14:textId="77777777" w:rsidR="00061278" w:rsidRDefault="00061278" w:rsidP="00061278">
                        <w:pPr>
                          <w:jc w:val="center"/>
                          <w:rPr>
                            <w:rFonts w:eastAsia="Times New Roman"/>
                          </w:rPr>
                        </w:pPr>
                        <w:r>
                          <w:rPr>
                            <w:rFonts w:eastAsia="Times New Roman"/>
                          </w:rPr>
                          <w:pict w14:anchorId="02FB8357">
                            <v:rect id="_x0000_i1028" style="width:468pt;height:3pt" o:hralign="center" o:hrstd="t" o:hr="t" fillcolor="#a0a0a0" stroked="f"/>
                          </w:pict>
                        </w:r>
                      </w:p>
                      <w:p w14:paraId="5E6A84F8" w14:textId="77777777" w:rsidR="00061278" w:rsidRDefault="00061278">
                        <w:pPr>
                          <w:pStyle w:val="Heading2"/>
                          <w:ind w:left="150"/>
                          <w:rPr>
                            <w:rFonts w:eastAsia="Times New Roman"/>
                          </w:rPr>
                        </w:pPr>
                        <w:r>
                          <w:rPr>
                            <w:rStyle w:val="Strong"/>
                            <w:rFonts w:ascii="Trebuchet MS" w:eastAsia="Times New Roman" w:hAnsi="Trebuchet MS"/>
                            <w:b/>
                            <w:bCs/>
                            <w:color w:val="702785"/>
                            <w:sz w:val="21"/>
                            <w:szCs w:val="21"/>
                          </w:rPr>
                          <w:t>Spotted at #SGIM22:  Albany Medical College Trivia Team</w:t>
                        </w:r>
                      </w:p>
                      <w:p w14:paraId="377C1202" w14:textId="77777777" w:rsidR="00061278" w:rsidRDefault="00061278">
                        <w:pPr>
                          <w:pStyle w:val="NormalWeb"/>
                          <w:ind w:left="150"/>
                        </w:pPr>
                        <w:r>
                          <w:t xml:space="preserve">Congratulations to the Albany Medical College Trivia Team for placing third at the SGIM Annual Meeting in Orlando, FL!  Team members had a surprise visit from their Hudson Valley Region Governor, </w:t>
                        </w:r>
                        <w:r>
                          <w:rPr>
                            <w:rStyle w:val="Strong"/>
                          </w:rPr>
                          <w:t>Daniel Pomerantz, MD, FACP</w:t>
                        </w:r>
                        <w:r>
                          <w:t>.  Many of the team members are involved with the school's </w:t>
                        </w:r>
                        <w:r>
                          <w:rPr>
                            <w:color w:val="007E66"/>
                          </w:rPr>
                          <w:t xml:space="preserve"> </w:t>
                        </w:r>
                        <w:hyperlink r:id="rId13" w:history="1">
                          <w:r>
                            <w:rPr>
                              <w:rStyle w:val="Hyperlink"/>
                              <w:color w:val="007E66"/>
                            </w:rPr>
                            <w:t>Internal Medicine Interest Group</w:t>
                          </w:r>
                        </w:hyperlink>
                        <w:r>
                          <w:t xml:space="preserve">, sponsored by ACP and led by faculty advisor </w:t>
                        </w:r>
                        <w:r>
                          <w:rPr>
                            <w:rStyle w:val="Strong"/>
                          </w:rPr>
                          <w:t>Joseph Wayne, MD, MACP.</w:t>
                        </w:r>
                        <w:r>
                          <w:t xml:space="preserve">  </w:t>
                        </w:r>
                      </w:p>
                      <w:p w14:paraId="2DCBB07E" w14:textId="77777777" w:rsidR="00061278" w:rsidRDefault="00061278">
                        <w:pPr>
                          <w:pStyle w:val="NormalWeb"/>
                          <w:ind w:left="150"/>
                        </w:pPr>
                        <w:r>
                          <w:t xml:space="preserve">This was the first time Albany Medical College had a group attend SGIM.  Thank you to </w:t>
                        </w:r>
                        <w:r>
                          <w:rPr>
                            <w:rStyle w:val="Strong"/>
                          </w:rPr>
                          <w:t>Megan Gerber, MD, FACP</w:t>
                        </w:r>
                        <w:r>
                          <w:t xml:space="preserve"> for connecting members and leaders!</w:t>
                        </w:r>
                      </w:p>
                      <w:p w14:paraId="7A3E9C79" w14:textId="77777777" w:rsidR="00061278" w:rsidRDefault="00061278">
                        <w:pPr>
                          <w:pStyle w:val="NormalWeb"/>
                          <w:ind w:left="150"/>
                        </w:pPr>
                        <w:r>
                          <w:rPr>
                            <w:i/>
                            <w:iCs/>
                          </w:rPr>
                          <w:t>Pictured left to right are NYACP members:  </w:t>
                        </w:r>
                        <w:r>
                          <w:rPr>
                            <w:rStyle w:val="Strong"/>
                            <w:i/>
                            <w:iCs/>
                          </w:rPr>
                          <w:t>Daniel Pomerantz, MD, FACP</w:t>
                        </w:r>
                        <w:r>
                          <w:rPr>
                            <w:i/>
                            <w:iCs/>
                          </w:rPr>
                          <w:t xml:space="preserve">, </w:t>
                        </w:r>
                        <w:r>
                          <w:rPr>
                            <w:rStyle w:val="Strong"/>
                            <w:i/>
                            <w:iCs/>
                          </w:rPr>
                          <w:t>Sapan Shah, MS3</w:t>
                        </w:r>
                        <w:r>
                          <w:rPr>
                            <w:i/>
                            <w:iCs/>
                          </w:rPr>
                          <w:t xml:space="preserve">, </w:t>
                        </w:r>
                        <w:r>
                          <w:rPr>
                            <w:rStyle w:val="Strong"/>
                            <w:i/>
                            <w:iCs/>
                          </w:rPr>
                          <w:t>Asha Pandu, MD</w:t>
                        </w:r>
                        <w:r>
                          <w:rPr>
                            <w:i/>
                            <w:iCs/>
                          </w:rPr>
                          <w:t xml:space="preserve">, and </w:t>
                        </w:r>
                        <w:r>
                          <w:rPr>
                            <w:rStyle w:val="Strong"/>
                            <w:i/>
                            <w:iCs/>
                          </w:rPr>
                          <w:t>Elizabeth Pinchman, MS2</w:t>
                        </w:r>
                      </w:p>
                      <w:tbl>
                        <w:tblPr>
                          <w:tblW w:w="5640" w:type="dxa"/>
                          <w:jc w:val="center"/>
                          <w:tblCellSpacing w:w="15" w:type="dxa"/>
                          <w:tblLook w:val="04A0" w:firstRow="1" w:lastRow="0" w:firstColumn="1" w:lastColumn="0" w:noHBand="0" w:noVBand="1"/>
                        </w:tblPr>
                        <w:tblGrid>
                          <w:gridCol w:w="5730"/>
                        </w:tblGrid>
                        <w:tr w:rsidR="00061278" w14:paraId="63A8F4B5" w14:textId="77777777">
                          <w:trPr>
                            <w:tblCellSpacing w:w="15" w:type="dxa"/>
                            <w:jc w:val="center"/>
                          </w:trPr>
                          <w:tc>
                            <w:tcPr>
                              <w:tcW w:w="0" w:type="auto"/>
                              <w:tcMar>
                                <w:top w:w="15" w:type="dxa"/>
                                <w:left w:w="15" w:type="dxa"/>
                                <w:bottom w:w="15" w:type="dxa"/>
                                <w:right w:w="15" w:type="dxa"/>
                              </w:tcMar>
                              <w:vAlign w:val="center"/>
                              <w:hideMark/>
                            </w:tcPr>
                            <w:p w14:paraId="4F05D1D5" w14:textId="5FF60248" w:rsidR="00061278" w:rsidRDefault="00061278">
                              <w:pPr>
                                <w:pStyle w:val="image1"/>
                                <w:rPr>
                                  <w:rFonts w:eastAsia="Times New Roman"/>
                                </w:rPr>
                              </w:pPr>
                              <w:r>
                                <w:rPr>
                                  <w:rFonts w:eastAsia="Times New Roman"/>
                                  <w:noProof/>
                                  <w:color w:val="0000FF"/>
                                </w:rPr>
                                <w:lastRenderedPageBreak/>
                                <w:drawing>
                                  <wp:inline distT="0" distB="0" distL="0" distR="0" wp14:anchorId="05EA5B94" wp14:editId="58195C47">
                                    <wp:extent cx="3581400" cy="2686050"/>
                                    <wp:effectExtent l="0" t="0" r="0" b="0"/>
                                    <wp:docPr id="10" name="Picture 10" descr="A group of people sitting around a table outside&#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people sitting around a table outside&#10;&#10;Description automatically generat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1400" cy="2686050"/>
                                            </a:xfrm>
                                            <a:prstGeom prst="rect">
                                              <a:avLst/>
                                            </a:prstGeom>
                                            <a:noFill/>
                                            <a:ln>
                                              <a:noFill/>
                                            </a:ln>
                                          </pic:spPr>
                                        </pic:pic>
                                      </a:graphicData>
                                    </a:graphic>
                                  </wp:inline>
                                </w:drawing>
                              </w:r>
                            </w:p>
                            <w:p w14:paraId="2D4FA63B" w14:textId="77777777" w:rsidR="00061278" w:rsidRDefault="00061278">
                              <w:pPr>
                                <w:pStyle w:val="image1"/>
                                <w:shd w:val="clear" w:color="auto" w:fill="F7F7F7"/>
                                <w:rPr>
                                  <w:rFonts w:eastAsia="Times New Roman"/>
                                  <w:color w:val="333333"/>
                                  <w:sz w:val="17"/>
                                  <w:szCs w:val="17"/>
                                </w:rPr>
                              </w:pPr>
                              <w:r>
                                <w:rPr>
                                  <w:rFonts w:eastAsia="Times New Roman"/>
                                  <w:color w:val="333333"/>
                                  <w:sz w:val="17"/>
                                  <w:szCs w:val="17"/>
                                </w:rPr>
                                <w:t xml:space="preserve">Photo courtesy of </w:t>
                              </w:r>
                              <w:r>
                                <w:rPr>
                                  <w:rStyle w:val="Strong"/>
                                  <w:rFonts w:eastAsia="Times New Roman"/>
                                  <w:color w:val="333333"/>
                                  <w:sz w:val="17"/>
                                  <w:szCs w:val="17"/>
                                </w:rPr>
                                <w:t>Megan Gerber, MD, FACP</w:t>
                              </w:r>
                              <w:r>
                                <w:rPr>
                                  <w:rFonts w:eastAsia="Times New Roman"/>
                                  <w:color w:val="333333"/>
                                  <w:sz w:val="17"/>
                                  <w:szCs w:val="17"/>
                                </w:rPr>
                                <w:t xml:space="preserve"> </w:t>
                              </w:r>
                              <w:hyperlink r:id="rId16" w:history="1">
                                <w:r>
                                  <w:rPr>
                                    <w:rStyle w:val="Hyperlink"/>
                                    <w:rFonts w:eastAsia="Times New Roman"/>
                                    <w:color w:val="007E66"/>
                                    <w:sz w:val="18"/>
                                    <w:szCs w:val="18"/>
                                  </w:rPr>
                                  <w:t>via Twitter</w:t>
                                </w:r>
                              </w:hyperlink>
                            </w:p>
                          </w:tc>
                        </w:tr>
                      </w:tbl>
                      <w:p w14:paraId="63C0A456" w14:textId="77777777" w:rsidR="00061278" w:rsidRDefault="00061278" w:rsidP="00061278">
                        <w:pPr>
                          <w:jc w:val="center"/>
                          <w:rPr>
                            <w:rFonts w:eastAsia="Times New Roman"/>
                          </w:rPr>
                        </w:pPr>
                        <w:r>
                          <w:rPr>
                            <w:rFonts w:eastAsia="Times New Roman"/>
                          </w:rPr>
                          <w:pict w14:anchorId="0AC7EE60">
                            <v:rect id="_x0000_i1030" style="width:468pt;height:3pt" o:hralign="center" o:hrstd="t" o:hr="t" fillcolor="#a0a0a0" stroked="f"/>
                          </w:pict>
                        </w:r>
                      </w:p>
                      <w:p w14:paraId="706D5640" w14:textId="77777777" w:rsidR="00061278" w:rsidRDefault="00061278">
                        <w:pPr>
                          <w:pStyle w:val="Heading2"/>
                          <w:ind w:left="150"/>
                          <w:rPr>
                            <w:rFonts w:eastAsia="Times New Roman"/>
                          </w:rPr>
                        </w:pPr>
                        <w:r>
                          <w:rPr>
                            <w:rStyle w:val="Strong"/>
                            <w:rFonts w:ascii="Trebuchet MS" w:eastAsia="Times New Roman" w:hAnsi="Trebuchet MS"/>
                            <w:b/>
                            <w:bCs/>
                            <w:color w:val="702785"/>
                            <w:sz w:val="21"/>
                            <w:szCs w:val="21"/>
                          </w:rPr>
                          <w:t>Support NYACP Members Running for AMA Council Positions</w:t>
                        </w:r>
                      </w:p>
                      <w:tbl>
                        <w:tblPr>
                          <w:tblpPr w:leftFromText="405" w:rightFromText="45" w:topFromText="240" w:bottomFromText="240" w:vertAnchor="text" w:tblpXSpec="right" w:tblpYSpec="center"/>
                          <w:tblW w:w="1485" w:type="dxa"/>
                          <w:tblCellSpacing w:w="15" w:type="dxa"/>
                          <w:tblLook w:val="04A0" w:firstRow="1" w:lastRow="0" w:firstColumn="1" w:lastColumn="0" w:noHBand="0" w:noVBand="1"/>
                        </w:tblPr>
                        <w:tblGrid>
                          <w:gridCol w:w="1590"/>
                        </w:tblGrid>
                        <w:tr w:rsidR="00061278" w14:paraId="712B41E4" w14:textId="77777777">
                          <w:trPr>
                            <w:tblCellSpacing w:w="15" w:type="dxa"/>
                          </w:trPr>
                          <w:tc>
                            <w:tcPr>
                              <w:tcW w:w="0" w:type="auto"/>
                              <w:tcMar>
                                <w:top w:w="15" w:type="dxa"/>
                                <w:left w:w="15" w:type="dxa"/>
                                <w:bottom w:w="15" w:type="dxa"/>
                                <w:right w:w="15" w:type="dxa"/>
                              </w:tcMar>
                              <w:vAlign w:val="center"/>
                              <w:hideMark/>
                            </w:tcPr>
                            <w:p w14:paraId="2D92BB61" w14:textId="7999D0E6" w:rsidR="00061278" w:rsidRDefault="00061278">
                              <w:pPr>
                                <w:pStyle w:val="image1"/>
                                <w:rPr>
                                  <w:rFonts w:eastAsia="Times New Roman"/>
                                </w:rPr>
                              </w:pPr>
                              <w:r>
                                <w:rPr>
                                  <w:rFonts w:eastAsia="Times New Roman"/>
                                  <w:noProof/>
                                </w:rPr>
                                <w:drawing>
                                  <wp:inline distT="0" distB="0" distL="0" distR="0" wp14:anchorId="3310866C" wp14:editId="7C1CD810">
                                    <wp:extent cx="942975" cy="942975"/>
                                    <wp:effectExtent l="0" t="0" r="9525" b="9525"/>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r>
                      </w:tbl>
                      <w:p w14:paraId="238BB6E0" w14:textId="77777777" w:rsidR="00061278" w:rsidRDefault="00061278">
                        <w:pPr>
                          <w:pStyle w:val="NormalWeb"/>
                        </w:pPr>
                        <w:r>
                          <w:t xml:space="preserve">ACP is proud to sponsor and support </w:t>
                        </w:r>
                        <w:r>
                          <w:rPr>
                            <w:rStyle w:val="Strong"/>
                          </w:rPr>
                          <w:t>Dr. Doug DeLong’s</w:t>
                        </w:r>
                        <w:r>
                          <w:t xml:space="preserve"> candidacy for AMA’s Senior Physician Section (SPS) Governing Council. A past Chair of ACP’s Board of Regents, Dr. DeLong is a strong advocate for physicians at ACP and would be an asset to the AMA’s SPS Governing Council. If you are an AMA member 65+, please check your inbox for an email with the subject line: </w:t>
                        </w:r>
                        <w:r>
                          <w:rPr>
                            <w:i/>
                            <w:iCs/>
                          </w:rPr>
                          <w:t xml:space="preserve">Elect your AMA SPS Governing Council members today!  </w:t>
                        </w:r>
                        <w:r>
                          <w:t xml:space="preserve">If you did not receive a ballot and are eligible to vote, </w:t>
                        </w:r>
                        <w:hyperlink r:id="rId18" w:history="1">
                          <w:r>
                            <w:rPr>
                              <w:rStyle w:val="Hyperlink"/>
                              <w:color w:val="007E66"/>
                            </w:rPr>
                            <w:t>you can request one at this link</w:t>
                          </w:r>
                        </w:hyperlink>
                        <w:r>
                          <w:t>. Voting ends April 22.</w:t>
                        </w:r>
                      </w:p>
                      <w:tbl>
                        <w:tblPr>
                          <w:tblpPr w:leftFromText="405" w:rightFromText="45" w:topFromText="240" w:bottomFromText="240" w:vertAnchor="text" w:tblpXSpec="right" w:tblpYSpec="center"/>
                          <w:tblW w:w="1605" w:type="dxa"/>
                          <w:tblCellSpacing w:w="15" w:type="dxa"/>
                          <w:tblLook w:val="04A0" w:firstRow="1" w:lastRow="0" w:firstColumn="1" w:lastColumn="0" w:noHBand="0" w:noVBand="1"/>
                        </w:tblPr>
                        <w:tblGrid>
                          <w:gridCol w:w="1710"/>
                        </w:tblGrid>
                        <w:tr w:rsidR="00061278" w14:paraId="324389F0" w14:textId="77777777">
                          <w:trPr>
                            <w:tblCellSpacing w:w="15" w:type="dxa"/>
                          </w:trPr>
                          <w:tc>
                            <w:tcPr>
                              <w:tcW w:w="0" w:type="auto"/>
                              <w:tcMar>
                                <w:top w:w="15" w:type="dxa"/>
                                <w:left w:w="15" w:type="dxa"/>
                                <w:bottom w:w="15" w:type="dxa"/>
                                <w:right w:w="15" w:type="dxa"/>
                              </w:tcMar>
                              <w:vAlign w:val="center"/>
                              <w:hideMark/>
                            </w:tcPr>
                            <w:p w14:paraId="41F36A58" w14:textId="75A437B5" w:rsidR="00061278" w:rsidRDefault="00061278">
                              <w:pPr>
                                <w:pStyle w:val="image1"/>
                                <w:rPr>
                                  <w:rFonts w:eastAsia="Times New Roman"/>
                                </w:rPr>
                              </w:pPr>
                              <w:r>
                                <w:rPr>
                                  <w:rFonts w:eastAsia="Times New Roman"/>
                                  <w:noProof/>
                                </w:rPr>
                                <w:drawing>
                                  <wp:inline distT="0" distB="0" distL="0" distR="0" wp14:anchorId="1C01B89A" wp14:editId="2CE5596B">
                                    <wp:extent cx="1019175" cy="1019175"/>
                                    <wp:effectExtent l="0" t="0" r="9525" b="9525"/>
                                    <wp:docPr id="8" name="Picture 8" descr="A person in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in a suit&#10;&#10;Description automatically generated with low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r>
                      </w:tbl>
                      <w:p w14:paraId="640F791A" w14:textId="77777777" w:rsidR="00061278" w:rsidRDefault="00061278">
                        <w:pPr>
                          <w:pStyle w:val="NormalWeb"/>
                        </w:pPr>
                        <w:r>
                          <w:t xml:space="preserve">In addition, ACP proudly supports </w:t>
                        </w:r>
                        <w:r>
                          <w:rPr>
                            <w:rStyle w:val="Strong"/>
                          </w:rPr>
                          <w:t>Dr. Parag Mehta</w:t>
                        </w:r>
                        <w:r>
                          <w:t xml:space="preserve">, Governor of ACP’s New York Brooklyn/Queens/Staten Island Region in his candidacy for AMA’s International Medical Graduates Section (IMGS) Governing Council. Dr. Mehta has been a fierce advocate for IMGs throughout his career. If you are an IMG AMA member, check your inbox for an email with the subject line:  </w:t>
                        </w:r>
                        <w:r>
                          <w:rPr>
                            <w:i/>
                            <w:iCs/>
                          </w:rPr>
                          <w:t>AMA-IMGS Governing Council members today!</w:t>
                        </w:r>
                        <w:r>
                          <w:t xml:space="preserve">  If you did not receive a ballot and are eligible to vote, </w:t>
                        </w:r>
                        <w:hyperlink r:id="rId20" w:history="1">
                          <w:r>
                            <w:rPr>
                              <w:rStyle w:val="Hyperlink"/>
                              <w:color w:val="007E66"/>
                            </w:rPr>
                            <w:t>you can request one at this link</w:t>
                          </w:r>
                        </w:hyperlink>
                        <w:r>
                          <w:t> for more information or to request a ballot. Voting ends April 23.</w:t>
                        </w:r>
                      </w:p>
                      <w:p w14:paraId="40A5CE23" w14:textId="77777777" w:rsidR="00061278" w:rsidRDefault="00061278">
                        <w:pPr>
                          <w:pStyle w:val="NormalWeb"/>
                        </w:pPr>
                        <w:r>
                          <w:t>We encourage you to share with your personal networks, and thank you in advance for your support. </w:t>
                        </w:r>
                      </w:p>
                      <w:p w14:paraId="33E1D993" w14:textId="77777777" w:rsidR="00061278" w:rsidRDefault="00061278" w:rsidP="00061278">
                        <w:pPr>
                          <w:jc w:val="center"/>
                          <w:rPr>
                            <w:rFonts w:eastAsia="Times New Roman"/>
                          </w:rPr>
                        </w:pPr>
                        <w:r>
                          <w:rPr>
                            <w:rFonts w:eastAsia="Times New Roman"/>
                          </w:rPr>
                          <w:pict w14:anchorId="0913B6F4">
                            <v:rect id="_x0000_i1033" style="width:468pt;height:3pt" o:hralign="center" o:hrstd="t" o:hr="t" fillcolor="#a0a0a0" stroked="f"/>
                          </w:pict>
                        </w:r>
                      </w:p>
                      <w:p w14:paraId="7A64B377" w14:textId="77777777" w:rsidR="00061278" w:rsidRDefault="00061278">
                        <w:pPr>
                          <w:pStyle w:val="NormalWeb"/>
                        </w:pPr>
                        <w:r>
                          <w:rPr>
                            <w:rStyle w:val="Strong"/>
                            <w:rFonts w:ascii="Trebuchet MS" w:hAnsi="Trebuchet MS"/>
                            <w:color w:val="702785"/>
                            <w:sz w:val="21"/>
                            <w:szCs w:val="21"/>
                          </w:rPr>
                          <w:lastRenderedPageBreak/>
                          <w:t>Opportunity:  Preventive Medicine Residency</w:t>
                        </w:r>
                      </w:p>
                      <w:p w14:paraId="0445DEFC" w14:textId="77777777" w:rsidR="00061278" w:rsidRDefault="00061278">
                        <w:pPr>
                          <w:pStyle w:val="NormalWeb"/>
                        </w:pPr>
                        <w:hyperlink r:id="rId21" w:history="1">
                          <w:r>
                            <w:rPr>
                              <w:rStyle w:val="Hyperlink"/>
                              <w:color w:val="007E66"/>
                            </w:rPr>
                            <w:t>The University at Buffalo Preventive Medicine Residency Program</w:t>
                          </w:r>
                        </w:hyperlink>
                        <w:r>
                          <w:rPr>
                            <w:color w:val="007E66"/>
                          </w:rPr>
                          <w:t xml:space="preserve"> </w:t>
                        </w:r>
                        <w:r>
                          <w:t>is currently recruiting for the 2022-2023 academic year. This is a 2-year residency program after completion of 3 years of primary care residency.  During the first year, residents earn a fully funded MPH degree. During the second year, residents complete a practicum population health rotation in public health, health systems, and federally qualified health centers.  </w:t>
                        </w:r>
                      </w:p>
                      <w:p w14:paraId="07881BAD" w14:textId="77777777" w:rsidR="00061278" w:rsidRDefault="00061278">
                        <w:pPr>
                          <w:pStyle w:val="NormalWeb"/>
                        </w:pPr>
                        <w:r>
                          <w:t xml:space="preserve">For more information, please contact Program Director </w:t>
                        </w:r>
                        <w:r>
                          <w:rPr>
                            <w:rStyle w:val="Strong"/>
                          </w:rPr>
                          <w:t>Smita Bakhai, MD, MPH, FACP</w:t>
                        </w:r>
                        <w:r>
                          <w:t xml:space="preserve"> (</w:t>
                        </w:r>
                        <w:hyperlink r:id="rId22" w:history="1">
                          <w:r>
                            <w:rPr>
                              <w:rStyle w:val="Hyperlink"/>
                              <w:color w:val="007E66"/>
                            </w:rPr>
                            <w:t>sybakhai@buffalo.edu</w:t>
                          </w:r>
                        </w:hyperlink>
                        <w:r>
                          <w:t>) or Program Administrator Nathali Head (</w:t>
                        </w:r>
                        <w:hyperlink r:id="rId23" w:history="1">
                          <w:r>
                            <w:rPr>
                              <w:rStyle w:val="Hyperlink"/>
                              <w:color w:val="007E66"/>
                            </w:rPr>
                            <w:t>nathalih@buffalo.edu</w:t>
                          </w:r>
                        </w:hyperlink>
                        <w:r>
                          <w:t>)</w:t>
                        </w:r>
                      </w:p>
                      <w:p w14:paraId="0B9A832F" w14:textId="77777777" w:rsidR="00061278" w:rsidRDefault="00061278" w:rsidP="00061278">
                        <w:pPr>
                          <w:jc w:val="center"/>
                          <w:rPr>
                            <w:rFonts w:eastAsia="Times New Roman"/>
                          </w:rPr>
                        </w:pPr>
                        <w:r>
                          <w:rPr>
                            <w:rFonts w:eastAsia="Times New Roman"/>
                          </w:rPr>
                          <w:pict w14:anchorId="545E5B4C">
                            <v:rect id="_x0000_i1034" style="width:468pt;height:3pt" o:hralign="center" o:hrstd="t" o:hr="t" fillcolor="#a0a0a0" stroked="f"/>
                          </w:pict>
                        </w:r>
                      </w:p>
                      <w:p w14:paraId="41A7528E" w14:textId="77777777" w:rsidR="00061278" w:rsidRDefault="00061278">
                        <w:pPr>
                          <w:pStyle w:val="NormalWeb"/>
                        </w:pPr>
                        <w:r>
                          <w:rPr>
                            <w:rStyle w:val="Strong"/>
                            <w:rFonts w:ascii="Trebuchet MS" w:hAnsi="Trebuchet MS"/>
                            <w:color w:val="702785"/>
                            <w:sz w:val="21"/>
                            <w:szCs w:val="21"/>
                          </w:rPr>
                          <w:t>US Dept of HSS Request for Information: Impact of Health Misinformation in the Digital Information Environment in the US Throughout the COVID-19 Pandemic</w:t>
                        </w:r>
                      </w:p>
                      <w:p w14:paraId="4B16D911" w14:textId="77777777" w:rsidR="00061278" w:rsidRDefault="00061278">
                        <w:pPr>
                          <w:pStyle w:val="NormalWeb"/>
                        </w:pPr>
                        <w:r>
                          <w:t>The US Surgeon General’s office is asking for help from physicians to identify the “impact and prevalence of health misinformation in the digital information environment during the COVID-19 pandemic.” Through the US Department of Health and Human Services, the Surgeon General welcomes information related to “quality of care, health decisions and outcomes, direct and indirect costs, trust in the healthcare system…. and healthcare worker morale and safety,” among other topics. </w:t>
                        </w:r>
                      </w:p>
                      <w:p w14:paraId="469245F4" w14:textId="77777777" w:rsidR="00061278" w:rsidRDefault="00061278">
                        <w:pPr>
                          <w:pStyle w:val="NormalWeb"/>
                        </w:pPr>
                        <w:r>
                          <w:t>Please consider sharing your knowledge as part of this initiative.</w:t>
                        </w:r>
                        <w:r>
                          <w:rPr>
                            <w:color w:val="007E66"/>
                          </w:rPr>
                          <w:t xml:space="preserve"> </w:t>
                        </w:r>
                        <w:hyperlink r:id="rId24" w:history="1">
                          <w:r>
                            <w:rPr>
                              <w:rStyle w:val="Hyperlink"/>
                              <w:color w:val="007E66"/>
                            </w:rPr>
                            <w:t>To participate, click here for more information</w:t>
                          </w:r>
                        </w:hyperlink>
                        <w:r>
                          <w:rPr>
                            <w:color w:val="007E66"/>
                          </w:rPr>
                          <w:t>.  </w:t>
                        </w:r>
                      </w:p>
                      <w:p w14:paraId="7492873E" w14:textId="77777777" w:rsidR="00061278" w:rsidRDefault="00061278" w:rsidP="00061278">
                        <w:pPr>
                          <w:jc w:val="center"/>
                          <w:rPr>
                            <w:rFonts w:eastAsia="Times New Roman"/>
                          </w:rPr>
                        </w:pPr>
                        <w:r>
                          <w:rPr>
                            <w:rFonts w:eastAsia="Times New Roman"/>
                          </w:rPr>
                          <w:pict w14:anchorId="42E15657">
                            <v:rect id="_x0000_i1035" style="width:468pt;height:3pt" o:hralign="center" o:hrstd="t" o:hr="t" fillcolor="#a0a0a0" stroked="f"/>
                          </w:pict>
                        </w:r>
                      </w:p>
                      <w:p w14:paraId="345B3B0D" w14:textId="77777777" w:rsidR="00061278" w:rsidRDefault="00061278">
                        <w:pPr>
                          <w:pStyle w:val="Heading2"/>
                          <w:ind w:left="150"/>
                          <w:rPr>
                            <w:rFonts w:eastAsia="Times New Roman"/>
                          </w:rPr>
                        </w:pPr>
                        <w:r>
                          <w:rPr>
                            <w:rStyle w:val="Strong"/>
                            <w:rFonts w:ascii="Trebuchet MS" w:eastAsia="Times New Roman" w:hAnsi="Trebuchet MS"/>
                            <w:b/>
                            <w:bCs/>
                            <w:color w:val="702785"/>
                            <w:sz w:val="21"/>
                            <w:szCs w:val="21"/>
                          </w:rPr>
                          <w:t>Updated Guidance Now Available from the Women’s Preventive Services Initiative</w:t>
                        </w:r>
                      </w:p>
                      <w:p w14:paraId="2AF5405C" w14:textId="77777777" w:rsidR="00061278" w:rsidRDefault="00061278">
                        <w:pPr>
                          <w:pStyle w:val="NormalWeb"/>
                        </w:pPr>
                        <w:r>
                          <w:t>Women's Preventive Services Initiative (WPSI) recently updated five of its preventive services recommendations on</w:t>
                        </w:r>
                        <w:r>
                          <w:rPr>
                            <w:color w:val="007E66"/>
                          </w:rPr>
                          <w:t xml:space="preserve"> </w:t>
                        </w:r>
                        <w:hyperlink r:id="rId25" w:history="1">
                          <w:r>
                            <w:rPr>
                              <w:rStyle w:val="Hyperlink"/>
                              <w:color w:val="007E66"/>
                            </w:rPr>
                            <w:t>contraceptive care</w:t>
                          </w:r>
                        </w:hyperlink>
                        <w:r>
                          <w:rPr>
                            <w:color w:val="007E66"/>
                          </w:rPr>
                          <w:t xml:space="preserve">, </w:t>
                        </w:r>
                        <w:hyperlink r:id="rId26" w:history="1">
                          <w:r>
                            <w:rPr>
                              <w:rStyle w:val="Hyperlink"/>
                              <w:color w:val="007E66"/>
                            </w:rPr>
                            <w:t>breastfeeding</w:t>
                          </w:r>
                        </w:hyperlink>
                        <w:r>
                          <w:rPr>
                            <w:color w:val="007E66"/>
                          </w:rPr>
                          <w:t xml:space="preserve">, </w:t>
                        </w:r>
                        <w:hyperlink r:id="rId27" w:history="1">
                          <w:r>
                            <w:rPr>
                              <w:rStyle w:val="Hyperlink"/>
                              <w:color w:val="007E66"/>
                            </w:rPr>
                            <w:t>well-woman visits</w:t>
                          </w:r>
                        </w:hyperlink>
                        <w:r>
                          <w:rPr>
                            <w:color w:val="007E66"/>
                          </w:rPr>
                          <w:t xml:space="preserve">, </w:t>
                        </w:r>
                        <w:hyperlink r:id="rId28" w:history="1">
                          <w:r>
                            <w:rPr>
                              <w:rStyle w:val="Hyperlink"/>
                              <w:color w:val="007E66"/>
                            </w:rPr>
                            <w:t>STI counseling</w:t>
                          </w:r>
                        </w:hyperlink>
                        <w:r>
                          <w:t>, and</w:t>
                        </w:r>
                        <w:r>
                          <w:rPr>
                            <w:color w:val="007E66"/>
                          </w:rPr>
                          <w:t xml:space="preserve"> </w:t>
                        </w:r>
                        <w:hyperlink r:id="rId29" w:history="1">
                          <w:r>
                            <w:rPr>
                              <w:rStyle w:val="Hyperlink"/>
                              <w:color w:val="007E66"/>
                            </w:rPr>
                            <w:t>HIV screening</w:t>
                          </w:r>
                        </w:hyperlink>
                        <w:r>
                          <w:t xml:space="preserve">. With WPSI’s recommendations adopted by HRSA, the updates allow more essential services to be covered without cost-sharing. Help patients stay healthier throughout their lives by using WPSI’s complete set of </w:t>
                        </w:r>
                        <w:hyperlink r:id="rId30" w:history="1">
                          <w:r>
                            <w:rPr>
                              <w:rStyle w:val="Hyperlink"/>
                              <w:color w:val="007E66"/>
                            </w:rPr>
                            <w:t>recommendations</w:t>
                          </w:r>
                        </w:hyperlink>
                        <w:r>
                          <w:t xml:space="preserve"> and </w:t>
                        </w:r>
                        <w:hyperlink r:id="rId31" w:history="1">
                          <w:r>
                            <w:rPr>
                              <w:rStyle w:val="Hyperlink"/>
                              <w:color w:val="007E66"/>
                            </w:rPr>
                            <w:t>Well-Woman Chart</w:t>
                          </w:r>
                        </w:hyperlink>
                        <w:r>
                          <w:t xml:space="preserve"> to address your patients’ preventive health needs at every age.</w:t>
                        </w:r>
                      </w:p>
                      <w:p w14:paraId="1DB2CCB6" w14:textId="77777777" w:rsidR="00061278" w:rsidRDefault="00061278">
                        <w:pPr>
                          <w:pStyle w:val="NormalWeb"/>
                        </w:pPr>
                        <w:r>
                          <w:t>ACP is a partner organization with the American College of Obstetricians and Gynecologists through the WPSI. </w:t>
                        </w:r>
                      </w:p>
                      <w:p w14:paraId="6F6419F0" w14:textId="77777777" w:rsidR="00061278" w:rsidRDefault="00061278" w:rsidP="00061278">
                        <w:pPr>
                          <w:jc w:val="center"/>
                          <w:rPr>
                            <w:rFonts w:eastAsia="Times New Roman"/>
                          </w:rPr>
                        </w:pPr>
                        <w:r>
                          <w:rPr>
                            <w:rFonts w:eastAsia="Times New Roman"/>
                          </w:rPr>
                          <w:pict w14:anchorId="59BA1860">
                            <v:rect id="_x0000_i1036" style="width:468pt;height:3pt" o:hralign="center" o:hrstd="t" o:hr="t" fillcolor="#a0a0a0" stroked="f"/>
                          </w:pict>
                        </w:r>
                      </w:p>
                      <w:p w14:paraId="6E43F263" w14:textId="77777777" w:rsidR="00061278" w:rsidRDefault="00061278">
                        <w:pPr>
                          <w:pStyle w:val="NormalWeb"/>
                        </w:pPr>
                        <w:r>
                          <w:rPr>
                            <w:rStyle w:val="Strong"/>
                            <w:rFonts w:ascii="Trebuchet MS" w:hAnsi="Trebuchet MS"/>
                            <w:color w:val="702785"/>
                            <w:sz w:val="21"/>
                            <w:szCs w:val="21"/>
                          </w:rPr>
                          <w:t>Members in the News</w:t>
                        </w:r>
                      </w:p>
                      <w:p w14:paraId="3FB6B6E0" w14:textId="77777777" w:rsidR="00061278" w:rsidRDefault="00061278">
                        <w:pPr>
                          <w:pStyle w:val="NormalWeb"/>
                        </w:pPr>
                        <w:r>
                          <w:rPr>
                            <w:rStyle w:val="Strong"/>
                            <w:color w:val="333333"/>
                          </w:rPr>
                          <w:lastRenderedPageBreak/>
                          <w:t>Dave A. Chokshi, MD, FACP</w:t>
                        </w:r>
                        <w:r>
                          <w:rPr>
                            <w:color w:val="333333"/>
                          </w:rPr>
                          <w:t>, former NYC Health Commissioner, is</w:t>
                        </w:r>
                        <w:r>
                          <w:rPr>
                            <w:color w:val="007E66"/>
                          </w:rPr>
                          <w:t xml:space="preserve"> </w:t>
                        </w:r>
                        <w:hyperlink r:id="rId32" w:history="1">
                          <w:r>
                            <w:rPr>
                              <w:rStyle w:val="Hyperlink"/>
                              <w:color w:val="007E66"/>
                            </w:rPr>
                            <w:t>joining the New York State Health Foundation as a visiting fellow in May.</w:t>
                          </w:r>
                        </w:hyperlink>
                      </w:p>
                      <w:tbl>
                        <w:tblPr>
                          <w:tblpPr w:leftFromText="405" w:rightFromText="45" w:topFromText="240" w:bottomFromText="240" w:vertAnchor="text" w:tblpXSpec="right" w:tblpYSpec="center"/>
                          <w:tblW w:w="1380" w:type="dxa"/>
                          <w:tblCellSpacing w:w="15" w:type="dxa"/>
                          <w:tblLook w:val="04A0" w:firstRow="1" w:lastRow="0" w:firstColumn="1" w:lastColumn="0" w:noHBand="0" w:noVBand="1"/>
                        </w:tblPr>
                        <w:tblGrid>
                          <w:gridCol w:w="1470"/>
                        </w:tblGrid>
                        <w:tr w:rsidR="00061278" w14:paraId="152DC311" w14:textId="77777777">
                          <w:trPr>
                            <w:tblCellSpacing w:w="15" w:type="dxa"/>
                          </w:trPr>
                          <w:tc>
                            <w:tcPr>
                              <w:tcW w:w="0" w:type="auto"/>
                              <w:tcMar>
                                <w:top w:w="15" w:type="dxa"/>
                                <w:left w:w="15" w:type="dxa"/>
                                <w:bottom w:w="15" w:type="dxa"/>
                                <w:right w:w="15" w:type="dxa"/>
                              </w:tcMar>
                              <w:vAlign w:val="center"/>
                              <w:hideMark/>
                            </w:tcPr>
                            <w:p w14:paraId="5F929367" w14:textId="22BE5584" w:rsidR="00061278" w:rsidRDefault="00061278">
                              <w:pPr>
                                <w:pStyle w:val="image1"/>
                                <w:rPr>
                                  <w:rFonts w:eastAsia="Times New Roman"/>
                                </w:rPr>
                              </w:pPr>
                              <w:r>
                                <w:rPr>
                                  <w:rFonts w:eastAsia="Times New Roman"/>
                                  <w:noProof/>
                                </w:rPr>
                                <w:drawing>
                                  <wp:inline distT="0" distB="0" distL="0" distR="0" wp14:anchorId="534613BC" wp14:editId="3D528B7F">
                                    <wp:extent cx="876300" cy="876300"/>
                                    <wp:effectExtent l="0" t="0" r="0" b="0"/>
                                    <wp:docPr id="7" name="Picture 7"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smiling for the camera&#10;&#10;Description automatically generated with medium confidenc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r>
                      </w:tbl>
                      <w:p w14:paraId="17A12531" w14:textId="77777777" w:rsidR="00061278" w:rsidRDefault="00061278">
                        <w:pPr>
                          <w:pStyle w:val="NormalWeb"/>
                        </w:pPr>
                        <w:r>
                          <w:t> </w:t>
                        </w:r>
                      </w:p>
                      <w:p w14:paraId="1C1C7D41" w14:textId="77777777" w:rsidR="00061278" w:rsidRDefault="00061278">
                        <w:pPr>
                          <w:pStyle w:val="NormalWeb"/>
                        </w:pPr>
                        <w:r>
                          <w:rPr>
                            <w:rStyle w:val="Strong"/>
                            <w:color w:val="333333"/>
                          </w:rPr>
                          <w:t>T.S. Dharmarajan, MD, MACP</w:t>
                        </w:r>
                        <w:r>
                          <w:rPr>
                            <w:color w:val="333333"/>
                          </w:rPr>
                          <w:t>, member of the NYACP Geriatrics Task Force, has co-edited "Geriatric Gastroenterology" with fellow ACP member, C.S. Pitchumoni, MD MACP.  He has edited over 20 of the 100 chapters in this 2400 page, 3 volume edition book!</w:t>
                        </w:r>
                      </w:p>
                      <w:p w14:paraId="0BFDDFC9" w14:textId="77777777" w:rsidR="00061278" w:rsidRDefault="00061278" w:rsidP="00061278">
                        <w:pPr>
                          <w:jc w:val="center"/>
                          <w:rPr>
                            <w:rFonts w:eastAsia="Times New Roman"/>
                          </w:rPr>
                        </w:pPr>
                        <w:r>
                          <w:rPr>
                            <w:rFonts w:eastAsia="Times New Roman"/>
                          </w:rPr>
                          <w:pict w14:anchorId="426FEC9D">
                            <v:rect id="_x0000_i1038" style="width:468pt;height:3pt" o:hralign="center" o:hrstd="t" o:hr="t" fillcolor="#a0a0a0" stroked="f"/>
                          </w:pict>
                        </w:r>
                      </w:p>
                      <w:p w14:paraId="257EEC33" w14:textId="77777777" w:rsidR="00061278" w:rsidRDefault="00061278">
                        <w:pPr>
                          <w:pStyle w:val="NormalWeb"/>
                        </w:pPr>
                        <w:hyperlink r:id="rId34" w:history="1">
                          <w:r>
                            <w:rPr>
                              <w:rStyle w:val="Strong"/>
                              <w:rFonts w:ascii="Trebuchet MS" w:hAnsi="Trebuchet MS"/>
                              <w:color w:val="007E66"/>
                              <w:sz w:val="27"/>
                              <w:szCs w:val="27"/>
                              <w:u w:val="single"/>
                            </w:rPr>
                            <w:t>NYACP Events</w:t>
                          </w:r>
                        </w:hyperlink>
                      </w:p>
                      <w:p w14:paraId="113833A0" w14:textId="77777777" w:rsidR="00061278" w:rsidRDefault="00061278">
                        <w:pPr>
                          <w:pStyle w:val="Heading2"/>
                          <w:rPr>
                            <w:rFonts w:eastAsia="Times New Roman"/>
                          </w:rPr>
                        </w:pPr>
                        <w:r>
                          <w:rPr>
                            <w:rStyle w:val="Strong"/>
                            <w:rFonts w:ascii="Trebuchet MS" w:eastAsia="Times New Roman" w:hAnsi="Trebuchet MS"/>
                            <w:b/>
                            <w:bCs/>
                            <w:color w:val="702785"/>
                            <w:sz w:val="21"/>
                            <w:szCs w:val="21"/>
                          </w:rPr>
                          <w:t>Small Feedings of the Soul:  Readings and Reflections</w:t>
                        </w:r>
                      </w:p>
                      <w:tbl>
                        <w:tblPr>
                          <w:tblpPr w:leftFromText="405" w:rightFromText="45" w:topFromText="240" w:bottomFromText="240" w:vertAnchor="text" w:tblpXSpec="right" w:tblpYSpec="center"/>
                          <w:tblW w:w="1905" w:type="dxa"/>
                          <w:tblCellSpacing w:w="15" w:type="dxa"/>
                          <w:tblLook w:val="04A0" w:firstRow="1" w:lastRow="0" w:firstColumn="1" w:lastColumn="0" w:noHBand="0" w:noVBand="1"/>
                        </w:tblPr>
                        <w:tblGrid>
                          <w:gridCol w:w="2010"/>
                        </w:tblGrid>
                        <w:tr w:rsidR="00061278" w14:paraId="7B728C84" w14:textId="77777777">
                          <w:trPr>
                            <w:tblCellSpacing w:w="15" w:type="dxa"/>
                          </w:trPr>
                          <w:tc>
                            <w:tcPr>
                              <w:tcW w:w="0" w:type="auto"/>
                              <w:tcMar>
                                <w:top w:w="15" w:type="dxa"/>
                                <w:left w:w="15" w:type="dxa"/>
                                <w:bottom w:w="15" w:type="dxa"/>
                                <w:right w:w="15" w:type="dxa"/>
                              </w:tcMar>
                              <w:vAlign w:val="center"/>
                              <w:hideMark/>
                            </w:tcPr>
                            <w:p w14:paraId="34214576" w14:textId="147E225B" w:rsidR="00061278" w:rsidRDefault="00061278">
                              <w:pPr>
                                <w:pStyle w:val="image1"/>
                                <w:rPr>
                                  <w:rFonts w:eastAsia="Times New Roman"/>
                                </w:rPr>
                              </w:pPr>
                              <w:r>
                                <w:rPr>
                                  <w:rFonts w:eastAsia="Times New Roman"/>
                                  <w:noProof/>
                                </w:rPr>
                                <w:drawing>
                                  <wp:inline distT="0" distB="0" distL="0" distR="0" wp14:anchorId="5AD50A4A" wp14:editId="211A9977">
                                    <wp:extent cx="1209675" cy="1209675"/>
                                    <wp:effectExtent l="0" t="0" r="9525" b="9525"/>
                                    <wp:docPr id="6" name="Picture 6" descr="A picture containing text, coffee,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offee, indoor&#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r>
                      </w:tbl>
                      <w:p w14:paraId="74859D2F" w14:textId="77777777" w:rsidR="00061278" w:rsidRDefault="00061278">
                        <w:pPr>
                          <w:pStyle w:val="NormalWeb"/>
                        </w:pPr>
                        <w:r>
                          <w:rPr>
                            <w:rStyle w:val="Strong"/>
                            <w:rFonts w:ascii="Trebuchet MS" w:hAnsi="Trebuchet MS"/>
                            <w:sz w:val="21"/>
                            <w:szCs w:val="21"/>
                          </w:rPr>
                          <w:t>April 21 / 7:00 - 8:00 pm</w:t>
                        </w:r>
                      </w:p>
                      <w:p w14:paraId="44EC1061" w14:textId="77777777" w:rsidR="00061278" w:rsidRDefault="00061278">
                        <w:pPr>
                          <w:pStyle w:val="NormalWeb"/>
                        </w:pPr>
                        <w:r>
                          <w:t>Explore the practice of medicine through shared experiences! Come for discussion, camaraderie, and to meet authors of select pieces from 'On Being A Doctor'. </w:t>
                        </w:r>
                        <w:r>
                          <w:br/>
                        </w:r>
                        <w:r>
                          <w:br/>
                          <w:t>This event is not recorded.</w:t>
                        </w:r>
                        <w:r>
                          <w:br/>
                        </w:r>
                        <w:r>
                          <w:br/>
                        </w:r>
                        <w:r>
                          <w:rPr>
                            <w:rStyle w:val="Strong"/>
                          </w:rPr>
                          <w:t>April's Theme:  Remembering Faith Fitzgerald, MD, MACP</w:t>
                        </w:r>
                        <w:r>
                          <w:br/>
                        </w:r>
                        <w:r>
                          <w:br/>
                          <w:t>Readings:</w:t>
                        </w:r>
                        <w:r>
                          <w:br/>
                        </w:r>
                        <w:hyperlink r:id="rId36" w:history="1">
                          <w:r>
                            <w:rPr>
                              <w:rStyle w:val="Hyperlink"/>
                              <w:color w:val="007E66"/>
                            </w:rPr>
                            <w:t>Curiosity</w:t>
                          </w:r>
                        </w:hyperlink>
                        <w:r>
                          <w:t xml:space="preserve"> by Faith Fitzgerald, MD, MACP</w:t>
                        </w:r>
                        <w:r>
                          <w:br/>
                        </w:r>
                        <w:hyperlink r:id="rId37" w:history="1">
                          <w:r>
                            <w:rPr>
                              <w:rStyle w:val="Hyperlink"/>
                              <w:color w:val="007E66"/>
                            </w:rPr>
                            <w:t>Letter to My Future Doctor</w:t>
                          </w:r>
                        </w:hyperlink>
                        <w:r>
                          <w:rPr>
                            <w:color w:val="007E66"/>
                          </w:rPr>
                          <w:t xml:space="preserve"> </w:t>
                        </w:r>
                        <w:r>
                          <w:t>by Faith Fitzgerald, MD, MACP</w:t>
                        </w:r>
                      </w:p>
                      <w:p w14:paraId="2F3D4044" w14:textId="77777777" w:rsidR="00061278" w:rsidRDefault="00061278">
                        <w:pPr>
                          <w:pStyle w:val="NormalWeb"/>
                        </w:pPr>
                        <w:r>
                          <w:t>Facilitated by: Leslie Algase, MD, FACP</w:t>
                        </w:r>
                        <w:r>
                          <w:br/>
                          <w:t>Special Guest: Raminder Gill, MD, FACP</w:t>
                        </w:r>
                        <w:r>
                          <w:br/>
                          <w:t>Program Directors: Nandini Anandu, MD, FACP, Lynn Cleary, MD, MACP, and Cori Salvit, MD, FACP</w:t>
                        </w:r>
                      </w:p>
                      <w:p w14:paraId="5BD7412D" w14:textId="77777777" w:rsidR="00061278" w:rsidRDefault="00061278">
                        <w:pPr>
                          <w:pStyle w:val="Heading4"/>
                          <w:rPr>
                            <w:rFonts w:eastAsia="Times New Roman"/>
                          </w:rPr>
                        </w:pPr>
                        <w:hyperlink r:id="rId38" w:history="1">
                          <w:r>
                            <w:rPr>
                              <w:rStyle w:val="Strong"/>
                              <w:rFonts w:eastAsia="Times New Roman"/>
                              <w:b/>
                              <w:bCs/>
                              <w:color w:val="007E66"/>
                              <w:u w:val="single"/>
                            </w:rPr>
                            <w:t>Register Here</w:t>
                          </w:r>
                        </w:hyperlink>
                      </w:p>
                      <w:p w14:paraId="6BEC3855" w14:textId="77777777" w:rsidR="00061278" w:rsidRDefault="00061278" w:rsidP="00061278">
                        <w:pPr>
                          <w:jc w:val="center"/>
                          <w:rPr>
                            <w:rFonts w:eastAsia="Times New Roman"/>
                          </w:rPr>
                        </w:pPr>
                        <w:r>
                          <w:rPr>
                            <w:rFonts w:eastAsia="Times New Roman"/>
                          </w:rPr>
                          <w:pict w14:anchorId="39F8AF1F">
                            <v:rect id="_x0000_i1040" style="width:468pt;height:3pt" o:hralign="center" o:hrstd="t" o:hr="t" fillcolor="#a0a0a0" stroked="f"/>
                          </w:pict>
                        </w:r>
                      </w:p>
                      <w:p w14:paraId="6039FEAD" w14:textId="77777777" w:rsidR="00061278" w:rsidRDefault="00061278">
                        <w:pPr>
                          <w:pStyle w:val="NormalWeb"/>
                        </w:pPr>
                        <w:r>
                          <w:rPr>
                            <w:rStyle w:val="Strong"/>
                            <w:i/>
                            <w:iCs/>
                            <w:sz w:val="18"/>
                            <w:szCs w:val="18"/>
                          </w:rPr>
                          <w:t>NYACP Early Career Physicians Task Force Presents the following zoom webinar:</w:t>
                        </w:r>
                      </w:p>
                      <w:tbl>
                        <w:tblPr>
                          <w:tblpPr w:leftFromText="405" w:rightFromText="45" w:topFromText="240" w:bottomFromText="240" w:vertAnchor="text" w:tblpXSpec="right" w:tblpYSpec="center"/>
                          <w:tblW w:w="2295" w:type="dxa"/>
                          <w:tblCellSpacing w:w="15" w:type="dxa"/>
                          <w:tblLook w:val="04A0" w:firstRow="1" w:lastRow="0" w:firstColumn="1" w:lastColumn="0" w:noHBand="0" w:noVBand="1"/>
                        </w:tblPr>
                        <w:tblGrid>
                          <w:gridCol w:w="2400"/>
                        </w:tblGrid>
                        <w:tr w:rsidR="00061278" w14:paraId="1C6CEE0E" w14:textId="77777777">
                          <w:trPr>
                            <w:tblCellSpacing w:w="15" w:type="dxa"/>
                          </w:trPr>
                          <w:tc>
                            <w:tcPr>
                              <w:tcW w:w="0" w:type="auto"/>
                              <w:tcMar>
                                <w:top w:w="15" w:type="dxa"/>
                                <w:left w:w="15" w:type="dxa"/>
                                <w:bottom w:w="15" w:type="dxa"/>
                                <w:right w:w="15" w:type="dxa"/>
                              </w:tcMar>
                              <w:vAlign w:val="center"/>
                              <w:hideMark/>
                            </w:tcPr>
                            <w:p w14:paraId="2BEC1EF9" w14:textId="21278ADD" w:rsidR="00061278" w:rsidRDefault="00061278">
                              <w:pPr>
                                <w:pStyle w:val="image1"/>
                                <w:rPr>
                                  <w:rFonts w:eastAsia="Times New Roman"/>
                                </w:rPr>
                              </w:pPr>
                              <w:r>
                                <w:rPr>
                                  <w:rFonts w:eastAsia="Times New Roman"/>
                                  <w:noProof/>
                                </w:rPr>
                                <w:lastRenderedPageBreak/>
                                <w:drawing>
                                  <wp:inline distT="0" distB="0" distL="0" distR="0" wp14:anchorId="146303DE" wp14:editId="02AF7BA8">
                                    <wp:extent cx="1457325" cy="819150"/>
                                    <wp:effectExtent l="0" t="0" r="9525" b="0"/>
                                    <wp:docPr id="5" name="Picture 5" descr="A group of people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in a room&#10;&#10;Description automatically generated with medium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57325" cy="819150"/>
                                            </a:xfrm>
                                            <a:prstGeom prst="rect">
                                              <a:avLst/>
                                            </a:prstGeom>
                                            <a:noFill/>
                                            <a:ln>
                                              <a:noFill/>
                                            </a:ln>
                                          </pic:spPr>
                                        </pic:pic>
                                      </a:graphicData>
                                    </a:graphic>
                                  </wp:inline>
                                </w:drawing>
                              </w:r>
                            </w:p>
                          </w:tc>
                        </w:tr>
                      </w:tbl>
                      <w:p w14:paraId="19F56063" w14:textId="77777777" w:rsidR="00061278" w:rsidRDefault="00061278">
                        <w:pPr>
                          <w:pStyle w:val="NormalWeb"/>
                        </w:pPr>
                        <w:r>
                          <w:rPr>
                            <w:rStyle w:val="Strong"/>
                            <w:rFonts w:ascii="Trebuchet MS" w:hAnsi="Trebuchet MS"/>
                            <w:color w:val="702785"/>
                            <w:sz w:val="21"/>
                            <w:szCs w:val="21"/>
                          </w:rPr>
                          <w:t>How to Prepare Great Abstract and Poster Presentations for your Next Academic Conference</w:t>
                        </w:r>
                        <w:r>
                          <w:br/>
                        </w:r>
                        <w:r>
                          <w:rPr>
                            <w:rStyle w:val="Strong"/>
                            <w:rFonts w:ascii="Trebuchet MS" w:hAnsi="Trebuchet MS"/>
                            <w:sz w:val="21"/>
                            <w:szCs w:val="21"/>
                          </w:rPr>
                          <w:t>Wednesday, May 4 / 6:00 - 7:00 pm</w:t>
                        </w:r>
                      </w:p>
                      <w:p w14:paraId="757F6C82" w14:textId="77777777" w:rsidR="00061278" w:rsidRDefault="00061278">
                        <w:pPr>
                          <w:pStyle w:val="NormalWeb"/>
                        </w:pPr>
                        <w:r>
                          <w:rPr>
                            <w:rStyle w:val="Strong"/>
                          </w:rPr>
                          <w:t>Objectives:</w:t>
                        </w:r>
                      </w:p>
                      <w:p w14:paraId="3472C06C" w14:textId="77777777" w:rsidR="00061278" w:rsidRDefault="00061278">
                        <w:pPr>
                          <w:pStyle w:val="NormalWeb"/>
                        </w:pPr>
                        <w:r>
                          <w:t>1. Prepare an effective abstract poster and oral presentation</w:t>
                        </w:r>
                        <w:r>
                          <w:br/>
                          <w:t>2. Identify general features of high-quality abstract poster and oral presentation</w:t>
                        </w:r>
                        <w:r>
                          <w:br/>
                          <w:t>3. Avoid common pitfalls in preparing an abstract poster and oral presentation</w:t>
                        </w:r>
                      </w:p>
                      <w:p w14:paraId="314CB931" w14:textId="77777777" w:rsidR="00061278" w:rsidRDefault="00061278">
                        <w:pPr>
                          <w:pStyle w:val="NormalWeb"/>
                        </w:pPr>
                        <w:r>
                          <w:rPr>
                            <w:rStyle w:val="Strong"/>
                          </w:rPr>
                          <w:t>Speakers:</w:t>
                        </w:r>
                      </w:p>
                      <w:p w14:paraId="67694AFD" w14:textId="77777777" w:rsidR="00061278" w:rsidRDefault="00061278">
                        <w:pPr>
                          <w:pStyle w:val="NormalWeb"/>
                        </w:pPr>
                        <w:r>
                          <w:t>Ofek Hai, DO, FACP</w:t>
                        </w:r>
                        <w:r>
                          <w:br/>
                          <w:t>Evan Siau, MD, FACP</w:t>
                        </w:r>
                        <w:r>
                          <w:br/>
                          <w:t>Raphael Rabinowitz, MD</w:t>
                        </w:r>
                      </w:p>
                      <w:p w14:paraId="4D6EC2F9" w14:textId="77777777" w:rsidR="00061278" w:rsidRDefault="00061278">
                        <w:pPr>
                          <w:pStyle w:val="NormalWeb"/>
                        </w:pPr>
                        <w:hyperlink r:id="rId40" w:history="1">
                          <w:r>
                            <w:rPr>
                              <w:rStyle w:val="Strong"/>
                              <w:rFonts w:ascii="Trebuchet MS" w:hAnsi="Trebuchet MS"/>
                              <w:color w:val="007E66"/>
                              <w:u w:val="single"/>
                            </w:rPr>
                            <w:t>Register Here</w:t>
                          </w:r>
                        </w:hyperlink>
                      </w:p>
                      <w:p w14:paraId="2D3A95FC" w14:textId="77777777" w:rsidR="00061278" w:rsidRDefault="00061278" w:rsidP="00061278">
                        <w:pPr>
                          <w:jc w:val="center"/>
                          <w:rPr>
                            <w:rFonts w:eastAsia="Times New Roman"/>
                          </w:rPr>
                        </w:pPr>
                        <w:r>
                          <w:rPr>
                            <w:rFonts w:eastAsia="Times New Roman"/>
                          </w:rPr>
                          <w:pict w14:anchorId="359819B1">
                            <v:rect id="_x0000_i1042" style="width:468pt;height:3pt" o:hralign="center" o:hrstd="t" o:hr="t" fillcolor="#a0a0a0" stroked="f"/>
                          </w:pict>
                        </w:r>
                      </w:p>
                      <w:p w14:paraId="3B98C1FC" w14:textId="77777777" w:rsidR="00061278" w:rsidRDefault="00061278">
                        <w:pPr>
                          <w:pStyle w:val="Heading2"/>
                          <w:rPr>
                            <w:rFonts w:eastAsia="Times New Roman"/>
                          </w:rPr>
                        </w:pPr>
                        <w:r>
                          <w:rPr>
                            <w:rStyle w:val="Strong"/>
                            <w:rFonts w:ascii="Trebuchet MS" w:eastAsia="Times New Roman" w:hAnsi="Trebuchet MS"/>
                            <w:b/>
                            <w:bCs/>
                            <w:color w:val="702785"/>
                            <w:sz w:val="21"/>
                            <w:szCs w:val="21"/>
                          </w:rPr>
                          <w:t>NYACP and Joint Medical Schools Reception</w:t>
                        </w:r>
                      </w:p>
                      <w:tbl>
                        <w:tblPr>
                          <w:tblpPr w:leftFromText="405" w:rightFromText="45" w:topFromText="240" w:bottomFromText="240" w:vertAnchor="text" w:tblpXSpec="right" w:tblpYSpec="center"/>
                          <w:tblW w:w="2355" w:type="dxa"/>
                          <w:tblCellSpacing w:w="15" w:type="dxa"/>
                          <w:tblLook w:val="04A0" w:firstRow="1" w:lastRow="0" w:firstColumn="1" w:lastColumn="0" w:noHBand="0" w:noVBand="1"/>
                        </w:tblPr>
                        <w:tblGrid>
                          <w:gridCol w:w="2460"/>
                        </w:tblGrid>
                        <w:tr w:rsidR="00061278" w14:paraId="0D61FA5C" w14:textId="77777777">
                          <w:trPr>
                            <w:tblCellSpacing w:w="15" w:type="dxa"/>
                          </w:trPr>
                          <w:tc>
                            <w:tcPr>
                              <w:tcW w:w="0" w:type="auto"/>
                              <w:tcMar>
                                <w:top w:w="15" w:type="dxa"/>
                                <w:left w:w="15" w:type="dxa"/>
                                <w:bottom w:w="15" w:type="dxa"/>
                                <w:right w:w="15" w:type="dxa"/>
                              </w:tcMar>
                              <w:vAlign w:val="center"/>
                              <w:hideMark/>
                            </w:tcPr>
                            <w:p w14:paraId="6E56A76D" w14:textId="49471AB5" w:rsidR="00061278" w:rsidRDefault="00061278">
                              <w:pPr>
                                <w:pStyle w:val="image1"/>
                                <w:rPr>
                                  <w:rFonts w:eastAsia="Times New Roman"/>
                                </w:rPr>
                              </w:pPr>
                              <w:r>
                                <w:rPr>
                                  <w:rFonts w:eastAsia="Times New Roman"/>
                                  <w:noProof/>
                                </w:rPr>
                                <w:drawing>
                                  <wp:inline distT="0" distB="0" distL="0" distR="0" wp14:anchorId="271E5E10" wp14:editId="79799B48">
                                    <wp:extent cx="1495425" cy="485775"/>
                                    <wp:effectExtent l="0" t="0" r="9525"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95425" cy="485775"/>
                                            </a:xfrm>
                                            <a:prstGeom prst="rect">
                                              <a:avLst/>
                                            </a:prstGeom>
                                            <a:noFill/>
                                            <a:ln>
                                              <a:noFill/>
                                            </a:ln>
                                          </pic:spPr>
                                        </pic:pic>
                                      </a:graphicData>
                                    </a:graphic>
                                  </wp:inline>
                                </w:drawing>
                              </w:r>
                            </w:p>
                          </w:tc>
                        </w:tr>
                      </w:tbl>
                      <w:p w14:paraId="02CE5558" w14:textId="77777777" w:rsidR="00061278" w:rsidRDefault="00061278">
                        <w:pPr>
                          <w:pStyle w:val="NormalWeb"/>
                        </w:pPr>
                        <w:r>
                          <w:rPr>
                            <w:rStyle w:val="Strong"/>
                            <w:rFonts w:ascii="Trebuchet MS" w:hAnsi="Trebuchet MS"/>
                            <w:sz w:val="21"/>
                            <w:szCs w:val="21"/>
                          </w:rPr>
                          <w:t>ACP IM 22</w:t>
                        </w:r>
                        <w:r>
                          <w:br/>
                        </w:r>
                        <w:r>
                          <w:rPr>
                            <w:rStyle w:val="Strong"/>
                            <w:rFonts w:ascii="Trebuchet MS" w:hAnsi="Trebuchet MS"/>
                            <w:sz w:val="21"/>
                            <w:szCs w:val="21"/>
                          </w:rPr>
                          <w:t>Thursday, April 28, 2022 / 8:00 pm</w:t>
                        </w:r>
                      </w:p>
                      <w:p w14:paraId="40ACD41B" w14:textId="77777777" w:rsidR="00061278" w:rsidRDefault="00061278">
                        <w:pPr>
                          <w:pStyle w:val="NormalWeb"/>
                        </w:pPr>
                        <w:r>
                          <w:t>Marriott Marquis Chicago</w:t>
                        </w:r>
                        <w:r>
                          <w:br/>
                          <w:t>Grand Horizon Ballroom G</w:t>
                        </w:r>
                        <w:r>
                          <w:br/>
                        </w:r>
                        <w:r>
                          <w:br/>
                        </w:r>
                        <w:hyperlink r:id="rId42" w:history="1">
                          <w:r>
                            <w:rPr>
                              <w:rStyle w:val="Strong"/>
                              <w:color w:val="007E66"/>
                              <w:u w:val="single"/>
                            </w:rPr>
                            <w:t>RSVP Here</w:t>
                          </w:r>
                        </w:hyperlink>
                      </w:p>
                      <w:p w14:paraId="4151E00F" w14:textId="77777777" w:rsidR="00061278" w:rsidRDefault="00061278">
                        <w:pPr>
                          <w:pStyle w:val="NormalWeb"/>
                        </w:pPr>
                        <w:hyperlink r:id="rId43" w:history="1">
                          <w:r>
                            <w:rPr>
                              <w:rStyle w:val="Strong"/>
                              <w:color w:val="007E66"/>
                              <w:u w:val="single"/>
                            </w:rPr>
                            <w:t>ACP 2022  Internal Medicine Meeting Information</w:t>
                          </w:r>
                        </w:hyperlink>
                      </w:p>
                      <w:p w14:paraId="7D0D7E88" w14:textId="77777777" w:rsidR="00061278" w:rsidRDefault="00061278" w:rsidP="00061278">
                        <w:pPr>
                          <w:jc w:val="center"/>
                          <w:rPr>
                            <w:rFonts w:eastAsia="Times New Roman"/>
                          </w:rPr>
                        </w:pPr>
                        <w:r>
                          <w:rPr>
                            <w:rFonts w:eastAsia="Times New Roman"/>
                          </w:rPr>
                          <w:pict w14:anchorId="530B5F95">
                            <v:rect id="_x0000_i1044" style="width:468pt;height:3pt" o:hralign="center" o:hrstd="t" o:hr="t" fillcolor="#a0a0a0" stroked="f"/>
                          </w:pict>
                        </w:r>
                      </w:p>
                      <w:p w14:paraId="09BC1481" w14:textId="77777777" w:rsidR="00061278" w:rsidRDefault="00061278">
                        <w:pPr>
                          <w:pStyle w:val="Heading2"/>
                          <w:rPr>
                            <w:rFonts w:eastAsia="Times New Roman"/>
                          </w:rPr>
                        </w:pPr>
                        <w:r>
                          <w:rPr>
                            <w:rFonts w:ascii="Trebuchet MS" w:eastAsia="Times New Roman" w:hAnsi="Trebuchet MS"/>
                            <w:i/>
                            <w:iCs/>
                            <w:color w:val="000000"/>
                            <w:sz w:val="18"/>
                            <w:szCs w:val="18"/>
                          </w:rPr>
                          <w:t>Sponsored by:  California Region 3,  Illinois, New York, Oregon, and Texas Chapters of the American College of Physicians</w:t>
                        </w:r>
                        <w:r>
                          <w:rPr>
                            <w:rFonts w:eastAsia="Times New Roman"/>
                          </w:rPr>
                          <w:br/>
                        </w:r>
                        <w:r>
                          <w:rPr>
                            <w:rStyle w:val="Strong"/>
                            <w:rFonts w:ascii="Trebuchet MS" w:eastAsia="Times New Roman" w:hAnsi="Trebuchet MS"/>
                            <w:b/>
                            <w:bCs/>
                            <w:color w:val="702785"/>
                            <w:sz w:val="21"/>
                            <w:szCs w:val="21"/>
                          </w:rPr>
                          <w:t>Influencing Change in Medicine:  Leadership in Equity</w:t>
                        </w:r>
                      </w:p>
                      <w:tbl>
                        <w:tblPr>
                          <w:tblpPr w:leftFromText="405" w:rightFromText="45" w:topFromText="240" w:bottomFromText="240" w:vertAnchor="text" w:tblpXSpec="right" w:tblpYSpec="center"/>
                          <w:tblW w:w="2895" w:type="dxa"/>
                          <w:tblCellSpacing w:w="15" w:type="dxa"/>
                          <w:tblLook w:val="04A0" w:firstRow="1" w:lastRow="0" w:firstColumn="1" w:lastColumn="0" w:noHBand="0" w:noVBand="1"/>
                        </w:tblPr>
                        <w:tblGrid>
                          <w:gridCol w:w="3000"/>
                        </w:tblGrid>
                        <w:tr w:rsidR="00061278" w14:paraId="250E583E" w14:textId="77777777">
                          <w:trPr>
                            <w:tblCellSpacing w:w="15" w:type="dxa"/>
                          </w:trPr>
                          <w:tc>
                            <w:tcPr>
                              <w:tcW w:w="0" w:type="auto"/>
                              <w:tcMar>
                                <w:top w:w="15" w:type="dxa"/>
                                <w:left w:w="15" w:type="dxa"/>
                                <w:bottom w:w="15" w:type="dxa"/>
                                <w:right w:w="15" w:type="dxa"/>
                              </w:tcMar>
                              <w:vAlign w:val="center"/>
                              <w:hideMark/>
                            </w:tcPr>
                            <w:p w14:paraId="0F6B5E53" w14:textId="3240D47B" w:rsidR="00061278" w:rsidRDefault="00061278">
                              <w:pPr>
                                <w:pStyle w:val="image1"/>
                                <w:rPr>
                                  <w:rFonts w:eastAsia="Times New Roman"/>
                                </w:rPr>
                              </w:pPr>
                              <w:r>
                                <w:rPr>
                                  <w:rFonts w:eastAsia="Times New Roman"/>
                                  <w:noProof/>
                                </w:rPr>
                                <w:drawing>
                                  <wp:inline distT="0" distB="0" distL="0" distR="0" wp14:anchorId="765EB3D0" wp14:editId="7138FCA2">
                                    <wp:extent cx="1838325" cy="962025"/>
                                    <wp:effectExtent l="0" t="0" r="9525" b="9525"/>
                                    <wp:docPr id="3" name="Picture 3" descr="A group of people sitting in chai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in chairs&#10;&#10;Description automatically generated with medium confidenc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38325" cy="962025"/>
                                            </a:xfrm>
                                            <a:prstGeom prst="rect">
                                              <a:avLst/>
                                            </a:prstGeom>
                                            <a:noFill/>
                                            <a:ln>
                                              <a:noFill/>
                                            </a:ln>
                                          </pic:spPr>
                                        </pic:pic>
                                      </a:graphicData>
                                    </a:graphic>
                                  </wp:inline>
                                </w:drawing>
                              </w:r>
                            </w:p>
                          </w:tc>
                        </w:tr>
                      </w:tbl>
                      <w:p w14:paraId="325BFDF1" w14:textId="77777777" w:rsidR="00061278" w:rsidRDefault="00061278">
                        <w:pPr>
                          <w:pStyle w:val="NormalWeb"/>
                        </w:pPr>
                        <w:r>
                          <w:rPr>
                            <w:rStyle w:val="Strong"/>
                            <w:rFonts w:ascii="Trebuchet MS" w:hAnsi="Trebuchet MS"/>
                            <w:sz w:val="21"/>
                            <w:szCs w:val="21"/>
                          </w:rPr>
                          <w:t>Saturday, May 14th / 11:00 AM - 12:30 PM</w:t>
                        </w:r>
                      </w:p>
                      <w:p w14:paraId="0E29E1F7" w14:textId="77777777" w:rsidR="00061278" w:rsidRDefault="00061278">
                        <w:pPr>
                          <w:pStyle w:val="NormalWeb"/>
                        </w:pPr>
                        <w:r>
                          <w:rPr>
                            <w:rStyle w:val="Strong"/>
                          </w:rPr>
                          <w:t>Objectives:</w:t>
                        </w:r>
                      </w:p>
                      <w:p w14:paraId="77CE8B48" w14:textId="77777777" w:rsidR="00061278" w:rsidRDefault="00061278" w:rsidP="00CA50A9">
                        <w:pPr>
                          <w:numPr>
                            <w:ilvl w:val="0"/>
                            <w:numId w:val="2"/>
                          </w:numPr>
                          <w:spacing w:before="100" w:beforeAutospacing="1" w:after="100" w:afterAutospacing="1"/>
                          <w:rPr>
                            <w:rFonts w:eastAsia="Times New Roman"/>
                          </w:rPr>
                        </w:pPr>
                        <w:r>
                          <w:rPr>
                            <w:rFonts w:eastAsia="Times New Roman"/>
                          </w:rPr>
                          <w:t>At the conclusion of the program, attendees will be able to define health equity in terms of impacting advocacy and describe why it matters.</w:t>
                        </w:r>
                      </w:p>
                      <w:p w14:paraId="49C23F18" w14:textId="77777777" w:rsidR="00061278" w:rsidRDefault="00061278" w:rsidP="00CA50A9">
                        <w:pPr>
                          <w:numPr>
                            <w:ilvl w:val="0"/>
                            <w:numId w:val="2"/>
                          </w:numPr>
                          <w:spacing w:before="100" w:beforeAutospacing="1" w:after="100" w:afterAutospacing="1"/>
                          <w:rPr>
                            <w:rFonts w:eastAsia="Times New Roman"/>
                          </w:rPr>
                        </w:pPr>
                        <w:r>
                          <w:rPr>
                            <w:rFonts w:eastAsia="Times New Roman"/>
                          </w:rPr>
                          <w:lastRenderedPageBreak/>
                          <w:t>Chapter successes and challenges will be shared and consensus for effective approaches will be developed.</w:t>
                        </w:r>
                      </w:p>
                      <w:p w14:paraId="3BFB51F6" w14:textId="77777777" w:rsidR="00061278" w:rsidRDefault="00061278" w:rsidP="00CA50A9">
                        <w:pPr>
                          <w:numPr>
                            <w:ilvl w:val="0"/>
                            <w:numId w:val="2"/>
                          </w:numPr>
                          <w:spacing w:before="100" w:beforeAutospacing="1" w:after="100" w:afterAutospacing="1"/>
                          <w:rPr>
                            <w:rFonts w:eastAsia="Times New Roman"/>
                          </w:rPr>
                        </w:pPr>
                        <w:r>
                          <w:rPr>
                            <w:rFonts w:eastAsia="Times New Roman"/>
                          </w:rPr>
                          <w:t>Methods for advancing the health equity agenda within advocacy will be shared, and best practices for developing successful coalitions and stakeholder communities will be addressed.</w:t>
                        </w:r>
                        <w:r>
                          <w:rPr>
                            <w:rFonts w:eastAsia="Times New Roman"/>
                          </w:rPr>
                          <w:br/>
                          <w:t> </w:t>
                        </w:r>
                      </w:p>
                      <w:p w14:paraId="338426D4" w14:textId="77777777" w:rsidR="00061278" w:rsidRDefault="00061278">
                        <w:pPr>
                          <w:pStyle w:val="NormalWeb"/>
                        </w:pPr>
                        <w:r>
                          <w:rPr>
                            <w:rStyle w:val="Strong"/>
                          </w:rPr>
                          <w:t>Keynote Speaker: </w:t>
                        </w:r>
                        <w:r>
                          <w:t>  Dr. David Hilden, ACP HPPC Vice Chair</w:t>
                        </w:r>
                        <w:r>
                          <w:br/>
                        </w:r>
                        <w:r>
                          <w:br/>
                        </w:r>
                        <w:r>
                          <w:rPr>
                            <w:rStyle w:val="Strong"/>
                          </w:rPr>
                          <w:t>Moderator:</w:t>
                        </w:r>
                        <w:r>
                          <w:t>  Dr. Omar Atiq, ACP Pres-Elect</w:t>
                        </w:r>
                      </w:p>
                      <w:p w14:paraId="6FD27266" w14:textId="77777777" w:rsidR="00061278" w:rsidRDefault="00061278">
                        <w:pPr>
                          <w:pStyle w:val="NormalWeb"/>
                        </w:pPr>
                        <w:r>
                          <w:rPr>
                            <w:rStyle w:val="Strong"/>
                          </w:rPr>
                          <w:t>Chapter Panelists:</w:t>
                        </w:r>
                        <w:r>
                          <w:br/>
                        </w:r>
                        <w:r>
                          <w:rPr>
                            <w:rStyle w:val="Strong"/>
                          </w:rPr>
                          <w:t>Dr. Moro Salifu, NY ACP DEI Chair</w:t>
                        </w:r>
                        <w:r>
                          <w:br/>
                          <w:t>Dr. Kelsi Manley, OR ACP Advocacy Day Chair</w:t>
                        </w:r>
                        <w:r>
                          <w:br/>
                          <w:t>Dr. Cynthia Jumper, TX ACP Past President</w:t>
                        </w:r>
                        <w:r>
                          <w:br/>
                          <w:t>Dr. Susan Hingle, ACP BOR Chair Emeritus</w:t>
                        </w:r>
                        <w:r>
                          <w:br/>
                          <w:t>Dr. Stony Anderson, CA Colorectal Cancer Coalition Pres</w:t>
                        </w:r>
                      </w:p>
                      <w:p w14:paraId="777B95A8" w14:textId="77777777" w:rsidR="00061278" w:rsidRDefault="00061278">
                        <w:pPr>
                          <w:pStyle w:val="Heading4"/>
                          <w:rPr>
                            <w:rFonts w:eastAsia="Times New Roman"/>
                          </w:rPr>
                        </w:pPr>
                        <w:hyperlink r:id="rId45" w:history="1">
                          <w:r>
                            <w:rPr>
                              <w:rStyle w:val="Strong"/>
                              <w:rFonts w:eastAsia="Times New Roman"/>
                              <w:b/>
                              <w:bCs/>
                              <w:color w:val="007E66"/>
                              <w:u w:val="single"/>
                            </w:rPr>
                            <w:t>Register Here</w:t>
                          </w:r>
                        </w:hyperlink>
                      </w:p>
                      <w:p w14:paraId="5B294FBB" w14:textId="77777777" w:rsidR="00061278" w:rsidRDefault="00061278">
                        <w:pPr>
                          <w:pStyle w:val="Heading4"/>
                          <w:rPr>
                            <w:rFonts w:eastAsia="Times New Roman"/>
                          </w:rPr>
                        </w:pPr>
                        <w:hyperlink r:id="rId46" w:history="1">
                          <w:r>
                            <w:rPr>
                              <w:rStyle w:val="Strong"/>
                              <w:rFonts w:eastAsia="Times New Roman"/>
                              <w:b/>
                              <w:bCs/>
                              <w:color w:val="007E66"/>
                              <w:u w:val="single"/>
                            </w:rPr>
                            <w:t>More Information</w:t>
                          </w:r>
                        </w:hyperlink>
                      </w:p>
                      <w:p w14:paraId="5AE4A2F5" w14:textId="77777777" w:rsidR="00061278" w:rsidRDefault="00061278" w:rsidP="00061278">
                        <w:pPr>
                          <w:jc w:val="center"/>
                          <w:rPr>
                            <w:rFonts w:eastAsia="Times New Roman"/>
                          </w:rPr>
                        </w:pPr>
                        <w:r>
                          <w:rPr>
                            <w:rFonts w:eastAsia="Times New Roman"/>
                          </w:rPr>
                          <w:pict w14:anchorId="2A2526DA">
                            <v:rect id="_x0000_i1046" style="width:468pt;height:3pt" o:hralign="center" o:hrstd="t" o:hr="t" fillcolor="#a0a0a0" stroked="f"/>
                          </w:pict>
                        </w:r>
                      </w:p>
                      <w:p w14:paraId="104C6BAC" w14:textId="77777777" w:rsidR="00061278" w:rsidRDefault="00061278">
                        <w:pPr>
                          <w:pStyle w:val="NormalWeb"/>
                        </w:pPr>
                        <w:r>
                          <w:rPr>
                            <w:rStyle w:val="Strong"/>
                            <w:rFonts w:ascii="Trebuchet MS" w:hAnsi="Trebuchet MS"/>
                            <w:color w:val="702785"/>
                            <w:sz w:val="21"/>
                            <w:szCs w:val="21"/>
                          </w:rPr>
                          <w:t>2022 NYACP Resident and Medical Student Forum</w:t>
                        </w:r>
                        <w:r>
                          <w:br/>
                        </w:r>
                        <w:r>
                          <w:rPr>
                            <w:rStyle w:val="Strong"/>
                            <w:rFonts w:ascii="Trebuchet MS" w:hAnsi="Trebuchet MS"/>
                            <w:sz w:val="21"/>
                            <w:szCs w:val="21"/>
                          </w:rPr>
                          <w:t>Friday, May 27, 2022</w:t>
                        </w:r>
                      </w:p>
                      <w:tbl>
                        <w:tblPr>
                          <w:tblpPr w:leftFromText="405" w:rightFromText="45" w:topFromText="240" w:bottomFromText="240" w:vertAnchor="text" w:tblpXSpec="right" w:tblpYSpec="center"/>
                          <w:tblW w:w="1605" w:type="dxa"/>
                          <w:tblCellSpacing w:w="15" w:type="dxa"/>
                          <w:tblLook w:val="04A0" w:firstRow="1" w:lastRow="0" w:firstColumn="1" w:lastColumn="0" w:noHBand="0" w:noVBand="1"/>
                        </w:tblPr>
                        <w:tblGrid>
                          <w:gridCol w:w="1710"/>
                        </w:tblGrid>
                        <w:tr w:rsidR="00061278" w14:paraId="38E47544" w14:textId="77777777">
                          <w:trPr>
                            <w:tblCellSpacing w:w="15" w:type="dxa"/>
                          </w:trPr>
                          <w:tc>
                            <w:tcPr>
                              <w:tcW w:w="0" w:type="auto"/>
                              <w:tcMar>
                                <w:top w:w="15" w:type="dxa"/>
                                <w:left w:w="15" w:type="dxa"/>
                                <w:bottom w:w="15" w:type="dxa"/>
                                <w:right w:w="15" w:type="dxa"/>
                              </w:tcMar>
                              <w:vAlign w:val="center"/>
                              <w:hideMark/>
                            </w:tcPr>
                            <w:p w14:paraId="5ECB50B7" w14:textId="47058D49" w:rsidR="00061278" w:rsidRDefault="00061278">
                              <w:pPr>
                                <w:pStyle w:val="image1"/>
                                <w:rPr>
                                  <w:rFonts w:eastAsia="Times New Roman"/>
                                </w:rPr>
                              </w:pPr>
                              <w:r>
                                <w:rPr>
                                  <w:rFonts w:eastAsia="Times New Roman"/>
                                  <w:noProof/>
                                </w:rPr>
                                <w:drawing>
                                  <wp:inline distT="0" distB="0" distL="0" distR="0" wp14:anchorId="6E504F6F" wp14:editId="45076048">
                                    <wp:extent cx="1019175" cy="676275"/>
                                    <wp:effectExtent l="0" t="0" r="9525" b="9525"/>
                                    <wp:docPr id="2" name="Picture 2" descr="A picture containing person, ceiling, indoor,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ceiling, indoor, standing&#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19175" cy="676275"/>
                                            </a:xfrm>
                                            <a:prstGeom prst="rect">
                                              <a:avLst/>
                                            </a:prstGeom>
                                            <a:noFill/>
                                            <a:ln>
                                              <a:noFill/>
                                            </a:ln>
                                          </pic:spPr>
                                        </pic:pic>
                                      </a:graphicData>
                                    </a:graphic>
                                  </wp:inline>
                                </w:drawing>
                              </w:r>
                            </w:p>
                          </w:tc>
                        </w:tr>
                      </w:tbl>
                      <w:p w14:paraId="2F73840D" w14:textId="77777777" w:rsidR="00061278" w:rsidRDefault="00061278">
                        <w:pPr>
                          <w:pStyle w:val="NormalWeb"/>
                        </w:pPr>
                        <w:r>
                          <w:t>Save the date and plan to join us on Friday, May 27, 2022, as we return to an in-person poster competition and welcome back Dr.'s Dilemma!</w:t>
                        </w:r>
                      </w:p>
                      <w:p w14:paraId="7D9DB219" w14:textId="77777777" w:rsidR="00061278" w:rsidRDefault="00061278">
                        <w:pPr>
                          <w:pStyle w:val="NormalWeb"/>
                        </w:pPr>
                        <w:r>
                          <w:t>Crowne Plaza/Desmond</w:t>
                        </w:r>
                        <w:r>
                          <w:br/>
                          <w:t>660 Albany Shaker Rd</w:t>
                        </w:r>
                        <w:r>
                          <w:br/>
                          <w:t>Albany, NY 12211</w:t>
                        </w:r>
                      </w:p>
                      <w:p w14:paraId="25C65EF2" w14:textId="77777777" w:rsidR="00061278" w:rsidRDefault="00061278">
                        <w:pPr>
                          <w:pStyle w:val="NormalWeb"/>
                        </w:pPr>
                        <w:r>
                          <w:t>12:30 pm - Poster Competition</w:t>
                        </w:r>
                      </w:p>
                      <w:p w14:paraId="4635391D" w14:textId="77777777" w:rsidR="00061278" w:rsidRDefault="00061278">
                        <w:pPr>
                          <w:pStyle w:val="NormalWeb"/>
                        </w:pPr>
                        <w:r>
                          <w:t>2:00 pm - Dr's Dilemma Competition</w:t>
                        </w:r>
                      </w:p>
                      <w:p w14:paraId="02DCE727" w14:textId="77777777" w:rsidR="00061278" w:rsidRDefault="00061278" w:rsidP="00061278">
                        <w:pPr>
                          <w:jc w:val="center"/>
                          <w:rPr>
                            <w:rFonts w:eastAsia="Times New Roman"/>
                          </w:rPr>
                        </w:pPr>
                        <w:r>
                          <w:rPr>
                            <w:rFonts w:eastAsia="Times New Roman"/>
                          </w:rPr>
                          <w:pict w14:anchorId="1A045827">
                            <v:rect id="_x0000_i1048" style="width:468pt;height:3pt" o:hralign="center" o:hrstd="t" o:hr="t" fillcolor="#a0a0a0" stroked="f"/>
                          </w:pict>
                        </w:r>
                      </w:p>
                      <w:tbl>
                        <w:tblPr>
                          <w:tblpPr w:leftFromText="405" w:rightFromText="45" w:topFromText="240" w:bottomFromText="240" w:vertAnchor="text" w:tblpXSpec="right" w:tblpYSpec="center"/>
                          <w:tblW w:w="2970" w:type="dxa"/>
                          <w:tblCellSpacing w:w="15" w:type="dxa"/>
                          <w:tblLook w:val="04A0" w:firstRow="1" w:lastRow="0" w:firstColumn="1" w:lastColumn="0" w:noHBand="0" w:noVBand="1"/>
                        </w:tblPr>
                        <w:tblGrid>
                          <w:gridCol w:w="3060"/>
                        </w:tblGrid>
                        <w:tr w:rsidR="00061278" w14:paraId="61E4D994" w14:textId="77777777">
                          <w:trPr>
                            <w:tblCellSpacing w:w="15" w:type="dxa"/>
                          </w:trPr>
                          <w:tc>
                            <w:tcPr>
                              <w:tcW w:w="0" w:type="auto"/>
                              <w:tcMar>
                                <w:top w:w="15" w:type="dxa"/>
                                <w:left w:w="15" w:type="dxa"/>
                                <w:bottom w:w="15" w:type="dxa"/>
                                <w:right w:w="15" w:type="dxa"/>
                              </w:tcMar>
                              <w:vAlign w:val="center"/>
                              <w:hideMark/>
                            </w:tcPr>
                            <w:p w14:paraId="6F9C7FEF" w14:textId="574E758E" w:rsidR="00061278" w:rsidRDefault="00061278">
                              <w:pPr>
                                <w:pStyle w:val="image1"/>
                                <w:rPr>
                                  <w:rFonts w:eastAsia="Times New Roman"/>
                                </w:rPr>
                              </w:pPr>
                              <w:r>
                                <w:rPr>
                                  <w:rFonts w:eastAsia="Times New Roman"/>
                                  <w:noProof/>
                                </w:rPr>
                                <w:drawing>
                                  <wp:inline distT="0" distB="0" distL="0" distR="0" wp14:anchorId="33B68957" wp14:editId="492CD0AE">
                                    <wp:extent cx="1885950" cy="781050"/>
                                    <wp:effectExtent l="0" t="0" r="0" b="0"/>
                                    <wp:docPr id="1" name="Picture 1" descr="A group of people sitting at tab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at tables&#10;&#10;Description automatically generated with medium confidence"/>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85950" cy="781050"/>
                                            </a:xfrm>
                                            <a:prstGeom prst="rect">
                                              <a:avLst/>
                                            </a:prstGeom>
                                            <a:noFill/>
                                            <a:ln>
                                              <a:noFill/>
                                            </a:ln>
                                          </pic:spPr>
                                        </pic:pic>
                                      </a:graphicData>
                                    </a:graphic>
                                  </wp:inline>
                                </w:drawing>
                              </w:r>
                            </w:p>
                          </w:tc>
                        </w:tr>
                      </w:tbl>
                      <w:p w14:paraId="237BE6F2" w14:textId="77777777" w:rsidR="00061278" w:rsidRDefault="00061278">
                        <w:pPr>
                          <w:pStyle w:val="NormalWeb"/>
                        </w:pPr>
                        <w:r>
                          <w:rPr>
                            <w:rStyle w:val="Strong"/>
                            <w:rFonts w:ascii="Trebuchet MS" w:hAnsi="Trebuchet MS"/>
                            <w:sz w:val="21"/>
                            <w:szCs w:val="21"/>
                          </w:rPr>
                          <w:t>Save the Date!</w:t>
                        </w:r>
                        <w:r>
                          <w:br/>
                        </w:r>
                        <w:r>
                          <w:rPr>
                            <w:rStyle w:val="Strong"/>
                            <w:rFonts w:ascii="Trebuchet MS" w:hAnsi="Trebuchet MS"/>
                            <w:color w:val="702785"/>
                            <w:sz w:val="21"/>
                            <w:szCs w:val="21"/>
                          </w:rPr>
                          <w:t>2022 NYACP Annual Scientific Meeting</w:t>
                        </w:r>
                        <w:r>
                          <w:br/>
                        </w:r>
                        <w:r>
                          <w:rPr>
                            <w:rStyle w:val="Strong"/>
                            <w:rFonts w:ascii="Trebuchet MS" w:hAnsi="Trebuchet MS"/>
                            <w:sz w:val="21"/>
                            <w:szCs w:val="21"/>
                          </w:rPr>
                          <w:t>Saturday, November 5, 2022</w:t>
                        </w:r>
                        <w:r>
                          <w:t> </w:t>
                        </w:r>
                        <w:r>
                          <w:br/>
                          <w:t>Join us as we return to an in-person Annual Scientific Meeting on Saturday, November 5, 2022.</w:t>
                        </w:r>
                      </w:p>
                      <w:p w14:paraId="6357A622" w14:textId="77777777" w:rsidR="00061278" w:rsidRDefault="00061278">
                        <w:pPr>
                          <w:pStyle w:val="NormalWeb"/>
                        </w:pPr>
                        <w:r>
                          <w:lastRenderedPageBreak/>
                          <w:t>Westchester Marriott</w:t>
                        </w:r>
                        <w:r>
                          <w:br/>
                          <w:t>670 White Plains Rd</w:t>
                        </w:r>
                        <w:r>
                          <w:br/>
                          <w:t>Tarrytown, NY 10591</w:t>
                        </w:r>
                      </w:p>
                      <w:p w14:paraId="348D467C" w14:textId="77777777" w:rsidR="00061278" w:rsidRDefault="00061278">
                        <w:pPr>
                          <w:pStyle w:val="NormalWeb"/>
                        </w:pPr>
                        <w:r>
                          <w:rPr>
                            <w:i/>
                            <w:iCs/>
                          </w:rPr>
                          <w:t>Details are coming shortly!</w:t>
                        </w:r>
                      </w:p>
                    </w:tc>
                  </w:tr>
                </w:tbl>
                <w:p w14:paraId="69C9DF29" w14:textId="77777777" w:rsidR="00061278" w:rsidRDefault="00061278" w:rsidP="00061278">
                  <w:pPr>
                    <w:jc w:val="center"/>
                    <w:rPr>
                      <w:rFonts w:ascii="Open Sans" w:eastAsia="Times New Roman" w:hAnsi="Open Sans" w:cs="Open Sans"/>
                      <w:color w:val="000000"/>
                    </w:rPr>
                  </w:pPr>
                  <w:r>
                    <w:rPr>
                      <w:rFonts w:ascii="Open Sans" w:eastAsia="Times New Roman" w:hAnsi="Open Sans" w:cs="Open Sans"/>
                      <w:color w:val="000000"/>
                    </w:rPr>
                    <w:lastRenderedPageBreak/>
                    <w:pict w14:anchorId="7CBF98C8">
                      <v:rect id="_x0000_i1050" style="width:468pt;height:.75pt" o:hralign="center" o:hrstd="t" o:hr="t" fillcolor="#a0a0a0" stroked="f"/>
                    </w:pict>
                  </w:r>
                </w:p>
              </w:tc>
            </w:tr>
          </w:tbl>
          <w:p w14:paraId="3FE018B3" w14:textId="77777777" w:rsidR="00061278" w:rsidRDefault="00061278">
            <w:pPr>
              <w:jc w:val="center"/>
              <w:rPr>
                <w:rFonts w:ascii="Times New Roman" w:eastAsia="Times New Roman" w:hAnsi="Times New Roman" w:cs="Times New Roman"/>
                <w:sz w:val="20"/>
                <w:szCs w:val="20"/>
              </w:rPr>
            </w:pPr>
          </w:p>
        </w:tc>
      </w:tr>
    </w:tbl>
    <w:p w14:paraId="41F38EE4" w14:textId="77777777" w:rsidR="004C57C9" w:rsidRPr="00061278" w:rsidRDefault="004C57C9" w:rsidP="00061278"/>
    <w:sectPr w:rsidR="004C57C9" w:rsidRPr="00061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64A17"/>
    <w:multiLevelType w:val="multilevel"/>
    <w:tmpl w:val="26B089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A07624"/>
    <w:multiLevelType w:val="multilevel"/>
    <w:tmpl w:val="3BB6232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1172915895">
    <w:abstractNumId w:val="1"/>
    <w:lvlOverride w:ilvl="0"/>
    <w:lvlOverride w:ilvl="1"/>
    <w:lvlOverride w:ilvl="2"/>
    <w:lvlOverride w:ilvl="3"/>
    <w:lvlOverride w:ilvl="4"/>
    <w:lvlOverride w:ilvl="5"/>
    <w:lvlOverride w:ilvl="6"/>
    <w:lvlOverride w:ilvl="7"/>
    <w:lvlOverride w:ilvl="8"/>
  </w:num>
  <w:num w:numId="2" w16cid:durableId="17829936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78"/>
    <w:rsid w:val="00061278"/>
    <w:rsid w:val="004C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8B29"/>
  <w15:chartTrackingRefBased/>
  <w15:docId w15:val="{A70A9834-0921-4731-B4F9-A19576D1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278"/>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061278"/>
    <w:pPr>
      <w:spacing w:before="100" w:beforeAutospacing="1" w:after="100" w:afterAutospacing="1"/>
      <w:outlineLvl w:val="1"/>
    </w:pPr>
    <w:rPr>
      <w:b/>
      <w:bCs/>
      <w:sz w:val="36"/>
      <w:szCs w:val="36"/>
    </w:rPr>
  </w:style>
  <w:style w:type="paragraph" w:styleId="Heading4">
    <w:name w:val="heading 4"/>
    <w:basedOn w:val="Normal"/>
    <w:link w:val="Heading4Char"/>
    <w:uiPriority w:val="9"/>
    <w:semiHidden/>
    <w:unhideWhenUsed/>
    <w:qFormat/>
    <w:rsid w:val="00061278"/>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61278"/>
    <w:rPr>
      <w:rFonts w:ascii="Calibri" w:hAnsi="Calibri" w:cs="Calibri"/>
      <w:b/>
      <w:bCs/>
      <w:sz w:val="36"/>
      <w:szCs w:val="36"/>
    </w:rPr>
  </w:style>
  <w:style w:type="character" w:customStyle="1" w:styleId="Heading4Char">
    <w:name w:val="Heading 4 Char"/>
    <w:basedOn w:val="DefaultParagraphFont"/>
    <w:link w:val="Heading4"/>
    <w:uiPriority w:val="9"/>
    <w:semiHidden/>
    <w:rsid w:val="00061278"/>
    <w:rPr>
      <w:rFonts w:ascii="Calibri" w:hAnsi="Calibri" w:cs="Calibri"/>
      <w:b/>
      <w:bCs/>
      <w:sz w:val="24"/>
      <w:szCs w:val="24"/>
    </w:rPr>
  </w:style>
  <w:style w:type="character" w:styleId="Hyperlink">
    <w:name w:val="Hyperlink"/>
    <w:basedOn w:val="DefaultParagraphFont"/>
    <w:uiPriority w:val="99"/>
    <w:semiHidden/>
    <w:unhideWhenUsed/>
    <w:rsid w:val="00061278"/>
    <w:rPr>
      <w:color w:val="0000FF"/>
      <w:u w:val="single"/>
    </w:rPr>
  </w:style>
  <w:style w:type="paragraph" w:styleId="NormalWeb">
    <w:name w:val="Normal (Web)"/>
    <w:basedOn w:val="Normal"/>
    <w:uiPriority w:val="99"/>
    <w:semiHidden/>
    <w:unhideWhenUsed/>
    <w:rsid w:val="00061278"/>
    <w:pPr>
      <w:spacing w:before="100" w:beforeAutospacing="1" w:after="100" w:afterAutospacing="1"/>
    </w:pPr>
  </w:style>
  <w:style w:type="paragraph" w:customStyle="1" w:styleId="image1">
    <w:name w:val="image1"/>
    <w:basedOn w:val="Normal"/>
    <w:uiPriority w:val="99"/>
    <w:semiHidden/>
    <w:rsid w:val="00061278"/>
    <w:pPr>
      <w:spacing w:before="240" w:after="240"/>
      <w:jc w:val="center"/>
    </w:pPr>
  </w:style>
  <w:style w:type="character" w:styleId="Strong">
    <w:name w:val="Strong"/>
    <w:basedOn w:val="DefaultParagraphFont"/>
    <w:uiPriority w:val="22"/>
    <w:qFormat/>
    <w:rsid w:val="00061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18440">
      <w:bodyDiv w:val="1"/>
      <w:marLeft w:val="0"/>
      <w:marRight w:val="0"/>
      <w:marTop w:val="0"/>
      <w:marBottom w:val="0"/>
      <w:divBdr>
        <w:top w:val="none" w:sz="0" w:space="0" w:color="auto"/>
        <w:left w:val="none" w:sz="0" w:space="0" w:color="auto"/>
        <w:bottom w:val="none" w:sz="0" w:space="0" w:color="auto"/>
        <w:right w:val="none" w:sz="0" w:space="0" w:color="auto"/>
      </w:divBdr>
      <w:divsChild>
        <w:div w:id="1647931707">
          <w:marLeft w:val="0"/>
          <w:marRight w:val="0"/>
          <w:marTop w:val="225"/>
          <w:marBottom w:val="225"/>
          <w:divBdr>
            <w:top w:val="none" w:sz="0" w:space="0" w:color="auto"/>
            <w:left w:val="none" w:sz="0" w:space="0" w:color="auto"/>
            <w:bottom w:val="none" w:sz="0" w:space="0" w:color="auto"/>
            <w:right w:val="none" w:sz="0" w:space="0" w:color="auto"/>
          </w:divBdr>
        </w:div>
        <w:div w:id="323315481">
          <w:marLeft w:val="0"/>
          <w:marRight w:val="0"/>
          <w:marTop w:val="225"/>
          <w:marBottom w:val="225"/>
          <w:divBdr>
            <w:top w:val="none" w:sz="0" w:space="0" w:color="auto"/>
            <w:left w:val="none" w:sz="0" w:space="0" w:color="auto"/>
            <w:bottom w:val="none" w:sz="0" w:space="0" w:color="auto"/>
            <w:right w:val="none" w:sz="0" w:space="0" w:color="auto"/>
          </w:divBdr>
        </w:div>
        <w:div w:id="1885679856">
          <w:marLeft w:val="0"/>
          <w:marRight w:val="0"/>
          <w:marTop w:val="225"/>
          <w:marBottom w:val="225"/>
          <w:divBdr>
            <w:top w:val="none" w:sz="0" w:space="0" w:color="auto"/>
            <w:left w:val="none" w:sz="0" w:space="0" w:color="auto"/>
            <w:bottom w:val="none" w:sz="0" w:space="0" w:color="auto"/>
            <w:right w:val="none" w:sz="0" w:space="0" w:color="auto"/>
          </w:divBdr>
        </w:div>
        <w:div w:id="1342313938">
          <w:marLeft w:val="0"/>
          <w:marRight w:val="0"/>
          <w:marTop w:val="225"/>
          <w:marBottom w:val="225"/>
          <w:divBdr>
            <w:top w:val="none" w:sz="0" w:space="0" w:color="auto"/>
            <w:left w:val="none" w:sz="0" w:space="0" w:color="auto"/>
            <w:bottom w:val="none" w:sz="0" w:space="0" w:color="auto"/>
            <w:right w:val="none" w:sz="0" w:space="0" w:color="auto"/>
          </w:divBdr>
        </w:div>
        <w:div w:id="612904929">
          <w:marLeft w:val="0"/>
          <w:marRight w:val="0"/>
          <w:marTop w:val="225"/>
          <w:marBottom w:val="225"/>
          <w:divBdr>
            <w:top w:val="none" w:sz="0" w:space="0" w:color="auto"/>
            <w:left w:val="none" w:sz="0" w:space="0" w:color="auto"/>
            <w:bottom w:val="none" w:sz="0" w:space="0" w:color="auto"/>
            <w:right w:val="none" w:sz="0" w:space="0" w:color="auto"/>
          </w:divBdr>
        </w:div>
        <w:div w:id="1419522989">
          <w:marLeft w:val="0"/>
          <w:marRight w:val="0"/>
          <w:marTop w:val="225"/>
          <w:marBottom w:val="225"/>
          <w:divBdr>
            <w:top w:val="none" w:sz="0" w:space="0" w:color="auto"/>
            <w:left w:val="none" w:sz="0" w:space="0" w:color="auto"/>
            <w:bottom w:val="none" w:sz="0" w:space="0" w:color="auto"/>
            <w:right w:val="none" w:sz="0" w:space="0" w:color="auto"/>
          </w:divBdr>
        </w:div>
        <w:div w:id="380449285">
          <w:marLeft w:val="0"/>
          <w:marRight w:val="0"/>
          <w:marTop w:val="225"/>
          <w:marBottom w:val="225"/>
          <w:divBdr>
            <w:top w:val="none" w:sz="0" w:space="0" w:color="auto"/>
            <w:left w:val="none" w:sz="0" w:space="0" w:color="auto"/>
            <w:bottom w:val="none" w:sz="0" w:space="0" w:color="auto"/>
            <w:right w:val="none" w:sz="0" w:space="0" w:color="auto"/>
          </w:divBdr>
        </w:div>
        <w:div w:id="1455903368">
          <w:marLeft w:val="0"/>
          <w:marRight w:val="0"/>
          <w:marTop w:val="225"/>
          <w:marBottom w:val="225"/>
          <w:divBdr>
            <w:top w:val="none" w:sz="0" w:space="0" w:color="auto"/>
            <w:left w:val="none" w:sz="0" w:space="0" w:color="auto"/>
            <w:bottom w:val="none" w:sz="0" w:space="0" w:color="auto"/>
            <w:right w:val="none" w:sz="0" w:space="0" w:color="auto"/>
          </w:divBdr>
        </w:div>
        <w:div w:id="365644239">
          <w:marLeft w:val="0"/>
          <w:marRight w:val="0"/>
          <w:marTop w:val="225"/>
          <w:marBottom w:val="225"/>
          <w:divBdr>
            <w:top w:val="none" w:sz="0" w:space="0" w:color="auto"/>
            <w:left w:val="none" w:sz="0" w:space="0" w:color="auto"/>
            <w:bottom w:val="none" w:sz="0" w:space="0" w:color="auto"/>
            <w:right w:val="none" w:sz="0" w:space="0" w:color="auto"/>
          </w:divBdr>
        </w:div>
        <w:div w:id="1519345846">
          <w:marLeft w:val="0"/>
          <w:marRight w:val="0"/>
          <w:marTop w:val="225"/>
          <w:marBottom w:val="225"/>
          <w:divBdr>
            <w:top w:val="none" w:sz="0" w:space="0" w:color="auto"/>
            <w:left w:val="none" w:sz="0" w:space="0" w:color="auto"/>
            <w:bottom w:val="none" w:sz="0" w:space="0" w:color="auto"/>
            <w:right w:val="none" w:sz="0" w:space="0" w:color="auto"/>
          </w:divBdr>
        </w:div>
        <w:div w:id="1701979227">
          <w:marLeft w:val="0"/>
          <w:marRight w:val="0"/>
          <w:marTop w:val="225"/>
          <w:marBottom w:val="225"/>
          <w:divBdr>
            <w:top w:val="none" w:sz="0" w:space="0" w:color="auto"/>
            <w:left w:val="none" w:sz="0" w:space="0" w:color="auto"/>
            <w:bottom w:val="none" w:sz="0" w:space="0" w:color="auto"/>
            <w:right w:val="none" w:sz="0" w:space="0" w:color="auto"/>
          </w:divBdr>
        </w:div>
        <w:div w:id="1762530508">
          <w:marLeft w:val="0"/>
          <w:marRight w:val="0"/>
          <w:marTop w:val="225"/>
          <w:marBottom w:val="225"/>
          <w:divBdr>
            <w:top w:val="none" w:sz="0" w:space="0" w:color="auto"/>
            <w:left w:val="none" w:sz="0" w:space="0" w:color="auto"/>
            <w:bottom w:val="none" w:sz="0" w:space="0" w:color="auto"/>
            <w:right w:val="none" w:sz="0" w:space="0" w:color="auto"/>
          </w:divBdr>
        </w:div>
        <w:div w:id="1523980071">
          <w:marLeft w:val="0"/>
          <w:marRight w:val="0"/>
          <w:marTop w:val="225"/>
          <w:marBottom w:val="225"/>
          <w:divBdr>
            <w:top w:val="none" w:sz="0" w:space="0" w:color="auto"/>
            <w:left w:val="none" w:sz="0" w:space="0" w:color="auto"/>
            <w:bottom w:val="none" w:sz="0" w:space="0" w:color="auto"/>
            <w:right w:val="none" w:sz="0" w:space="0" w:color="auto"/>
          </w:divBdr>
        </w:div>
        <w:div w:id="62882760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ponline.org/membership/medical-students/additional-resources/internal-medicine-interest-group-imig-sponsorship-program" TargetMode="External"/><Relationship Id="rId18" Type="http://schemas.openxmlformats.org/officeDocument/2006/relationships/hyperlink" Target="https://www.ama-assn.org/member-groups-sections/senior-physicians/senior-physicians-section-sps-governing-council-elections" TargetMode="External"/><Relationship Id="rId26" Type="http://schemas.openxmlformats.org/officeDocument/2006/relationships/hyperlink" Target="https://www.womenspreventivehealth.org/recommendations/breastfeeding-services-and-supplies/" TargetMode="External"/><Relationship Id="rId39" Type="http://schemas.openxmlformats.org/officeDocument/2006/relationships/image" Target="media/image8.jpeg"/><Relationship Id="rId21" Type="http://schemas.openxmlformats.org/officeDocument/2006/relationships/hyperlink" Target="https://www.nyacp.org/files/News/Final_Flyer_PM_Residency_Recruitment_AY2022-23_.pdf" TargetMode="External"/><Relationship Id="rId34" Type="http://schemas.openxmlformats.org/officeDocument/2006/relationships/hyperlink" Target="https://www.nyacp.org/i4a/pages/index.cfm?pageid=3535" TargetMode="External"/><Relationship Id="rId42" Type="http://schemas.openxmlformats.org/officeDocument/2006/relationships/hyperlink" Target="mailto:aidiong@nyacp.org" TargetMode="External"/><Relationship Id="rId47" Type="http://schemas.openxmlformats.org/officeDocument/2006/relationships/image" Target="media/image11.jpeg"/><Relationship Id="rId50"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twitter.com/meggerber/status/1512629797305864192" TargetMode="External"/><Relationship Id="rId29" Type="http://schemas.openxmlformats.org/officeDocument/2006/relationships/hyperlink" Target="https://www.womenspreventivehealth.org/recommendations/screening-for-human-immunodeficiency-virus-infection/" TargetMode="External"/><Relationship Id="rId11" Type="http://schemas.openxmlformats.org/officeDocument/2006/relationships/hyperlink" Target="mailto:info@nyacp.org" TargetMode="External"/><Relationship Id="rId24" Type="http://schemas.openxmlformats.org/officeDocument/2006/relationships/hyperlink" Target="https://www.nyacp.org/files/News/OSG_RFI_HealthcareOnePager.pdf" TargetMode="External"/><Relationship Id="rId32" Type="http://schemas.openxmlformats.org/officeDocument/2006/relationships/hyperlink" Target="https://nyshealthfoundation.org/2022/04/06/former-nyc-health-commissioner-dave-chokshi-to-join-new-york-state-health-foundation-as-visiting-fellow/?utm_source=Chokshi+Announcement+April+2022&amp;utm_medium=email&amp;utm_campaign=Chokshi+Announcement+April+2022" TargetMode="External"/><Relationship Id="rId37" Type="http://schemas.openxmlformats.org/officeDocument/2006/relationships/hyperlink" Target="https://www.ncbi.nlm.nih.gov/pmc/articles/PMC1003255/" TargetMode="External"/><Relationship Id="rId40" Type="http://schemas.openxmlformats.org/officeDocument/2006/relationships/hyperlink" Target="https://us02web.zoom.us/meeting/register/tZApdu6vqjIuHNB81ZmB7YbXfJM_G-hbBHRN" TargetMode="External"/><Relationship Id="rId45" Type="http://schemas.openxmlformats.org/officeDocument/2006/relationships/hyperlink" Target="https://us02web.zoom.us/meeting/register/tZIvf-2gqTkjH934XynYPdewkix2auPNTqA8" TargetMode="External"/><Relationship Id="rId5" Type="http://schemas.openxmlformats.org/officeDocument/2006/relationships/image" Target="media/image1.jpeg"/><Relationship Id="rId15" Type="http://schemas.openxmlformats.org/officeDocument/2006/relationships/image" Target="media/image3.jpeg"/><Relationship Id="rId23" Type="http://schemas.openxmlformats.org/officeDocument/2006/relationships/hyperlink" Target="mailto:nathalih@buffalo.edu" TargetMode="External"/><Relationship Id="rId28" Type="http://schemas.openxmlformats.org/officeDocument/2006/relationships/hyperlink" Target="https://www.womenspreventivehealth.org/recommendations/counseling-for-sexually-transmitted-infections/" TargetMode="External"/><Relationship Id="rId36" Type="http://schemas.openxmlformats.org/officeDocument/2006/relationships/hyperlink" Target="https://www.acpjournals.org/doi/10.7326/0003-4819-130-1-199901050-00015" TargetMode="External"/><Relationship Id="rId49" Type="http://schemas.openxmlformats.org/officeDocument/2006/relationships/fontTable" Target="fontTable.xml"/><Relationship Id="rId10" Type="http://schemas.openxmlformats.org/officeDocument/2006/relationships/hyperlink" Target="https://www.nyacp.org/i4a/forms/index.cfm?id=432" TargetMode="External"/><Relationship Id="rId19" Type="http://schemas.openxmlformats.org/officeDocument/2006/relationships/image" Target="media/image5.jpeg"/><Relationship Id="rId31" Type="http://schemas.openxmlformats.org/officeDocument/2006/relationships/hyperlink" Target="https://www.womenspreventivehealth.org/wellwomanchart/?utm_source=partnerorg&amp;utm_medium=enl&amp;utm_campaign=WPSI_BrandAwareness&amp;utm_content=newsletter" TargetMode="External"/><Relationship Id="rId44"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mailto:klabello@nyacp.org" TargetMode="External"/><Relationship Id="rId14" Type="http://schemas.openxmlformats.org/officeDocument/2006/relationships/hyperlink" Target="https://twitter.com/meggerber/status/1512629797305864192" TargetMode="External"/><Relationship Id="rId22" Type="http://schemas.openxmlformats.org/officeDocument/2006/relationships/hyperlink" Target="mailto:sybakhai@buffalo.edu" TargetMode="External"/><Relationship Id="rId27" Type="http://schemas.openxmlformats.org/officeDocument/2006/relationships/hyperlink" Target="https://www.womenspreventivehealth.org/recommendations/well-woman-preventive-visits/" TargetMode="External"/><Relationship Id="rId30" Type="http://schemas.openxmlformats.org/officeDocument/2006/relationships/hyperlink" Target="https://www.womenspreventivehealth.org/recommendations/?utm_source=partnerorg&amp;utm_medium=enl&amp;utm_campaign=WPSI_BrandAwareness&amp;utm_content=newsletter" TargetMode="External"/><Relationship Id="rId35" Type="http://schemas.openxmlformats.org/officeDocument/2006/relationships/image" Target="media/image7.png"/><Relationship Id="rId43" Type="http://schemas.openxmlformats.org/officeDocument/2006/relationships/hyperlink" Target="https://annualmeeting.acponline.org/?_ga=2.124477642.1163029722.1648475784-1999327469.1641417059&amp;_gl=1*t8zx01*_ga*MTk5OTMyNzQ2OS4xNjQxNDE3MDU5*_ga_PM4F5HBGFQ*MTY0ODU1OTM2MC4zMjMuMS4xNjQ4NTYxOTU4LjYw" TargetMode="External"/><Relationship Id="rId48" Type="http://schemas.openxmlformats.org/officeDocument/2006/relationships/image" Target="media/image12.jpeg"/><Relationship Id="rId8" Type="http://schemas.openxmlformats.org/officeDocument/2006/relationships/hyperlink" Target="https://www.acpjournals.org/doi/10.7326/M21-1523" TargetMode="External"/><Relationship Id="rId3" Type="http://schemas.openxmlformats.org/officeDocument/2006/relationships/settings" Target="settings.xml"/><Relationship Id="rId12" Type="http://schemas.openxmlformats.org/officeDocument/2006/relationships/hyperlink" Target="mailto:governors@nyacp.org" TargetMode="External"/><Relationship Id="rId17" Type="http://schemas.openxmlformats.org/officeDocument/2006/relationships/image" Target="media/image4.jpeg"/><Relationship Id="rId25" Type="http://schemas.openxmlformats.org/officeDocument/2006/relationships/hyperlink" Target="https://www.womenspreventivehealth.org/recommendations/contraception/" TargetMode="External"/><Relationship Id="rId33" Type="http://schemas.openxmlformats.org/officeDocument/2006/relationships/image" Target="media/image6.jpeg"/><Relationship Id="rId38" Type="http://schemas.openxmlformats.org/officeDocument/2006/relationships/hyperlink" Target="https://us02web.zoom.us/meeting/register/tZIvf-2gqTkjH934XynYPdewkix2auPNTqA8" TargetMode="External"/><Relationship Id="rId46" Type="http://schemas.openxmlformats.org/officeDocument/2006/relationships/hyperlink" Target="https://www.nyacp.org/files/Upcoming%20Events/DEI_May_14_FINAL_Brochure_V2.pdf" TargetMode="External"/><Relationship Id="rId20" Type="http://schemas.openxmlformats.org/officeDocument/2006/relationships/hyperlink" Target="http://www.ama-assn.org/member-groups-sections/international-medical-graduates/international-medical-graduates-section-1" TargetMode="External"/><Relationship Id="rId41"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www.nyacp.org/i4a/pages/index.cfm?pageid=3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2183</Words>
  <Characters>12445</Characters>
  <Application>Microsoft Office Word</Application>
  <DocSecurity>0</DocSecurity>
  <Lines>103</Lines>
  <Paragraphs>29</Paragraphs>
  <ScaleCrop>false</ScaleCrop>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NYACP Info</dc:creator>
  <cp:keywords/>
  <dc:description/>
  <cp:lastModifiedBy>NYACP Info</cp:lastModifiedBy>
  <cp:revision>1</cp:revision>
  <dcterms:created xsi:type="dcterms:W3CDTF">2022-05-13T13:31:00Z</dcterms:created>
  <dcterms:modified xsi:type="dcterms:W3CDTF">2022-05-13T13:31:00Z</dcterms:modified>
</cp:coreProperties>
</file>