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9000"/>
      </w:tblGrid>
      <w:tr w:rsidR="0019649C" w:rsidTr="0019649C">
        <w:trPr>
          <w:tblCellSpacing w:w="0" w:type="dxa"/>
          <w:jc w:val="center"/>
        </w:trPr>
        <w:tc>
          <w:tcPr>
            <w:tcW w:w="0" w:type="auto"/>
            <w:tcBorders>
              <w:top w:val="nil"/>
              <w:left w:val="nil"/>
              <w:bottom w:val="nil"/>
              <w:right w:val="nil"/>
            </w:tcBorders>
            <w:hideMark/>
          </w:tcPr>
          <w:tbl>
            <w:tblPr>
              <w:tblW w:w="5000" w:type="pct"/>
              <w:jc w:val="center"/>
              <w:tblCellSpacing w:w="0" w:type="dxa"/>
              <w:tblCellMar>
                <w:left w:w="0" w:type="dxa"/>
                <w:right w:w="0" w:type="dxa"/>
              </w:tblCellMar>
              <w:tblLook w:val="04A0" w:firstRow="1" w:lastRow="0" w:firstColumn="1" w:lastColumn="0" w:noHBand="0" w:noVBand="1"/>
            </w:tblPr>
            <w:tblGrid>
              <w:gridCol w:w="8985"/>
            </w:tblGrid>
            <w:tr w:rsidR="0019649C">
              <w:trPr>
                <w:tblCellSpacing w:w="0" w:type="dxa"/>
                <w:jc w:val="center"/>
              </w:trPr>
              <w:tc>
                <w:tcPr>
                  <w:tcW w:w="0" w:type="auto"/>
                  <w:shd w:val="clear" w:color="auto" w:fill="FFFFFF"/>
                  <w:vAlign w:val="center"/>
                  <w:hideMark/>
                </w:tcPr>
                <w:p w:rsidR="0019649C" w:rsidRDefault="0019649C">
                  <w:pPr>
                    <w:rPr>
                      <w:rFonts w:eastAsia="Times New Roman"/>
                    </w:rPr>
                  </w:pPr>
                  <w:r>
                    <w:rPr>
                      <w:rFonts w:eastAsia="Times New Roman"/>
                      <w:noProof/>
                    </w:rPr>
                    <w:drawing>
                      <wp:inline distT="0" distB="0" distL="0" distR="0">
                        <wp:extent cx="5715000" cy="952500"/>
                        <wp:effectExtent l="0" t="0" r="0" b="0"/>
                        <wp:docPr id="5" name="Picture 5" descr="https://d3dkdvqff0zqx.cloudfront.net/groups/nyacp/images/nyacp_2019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dkdvqff0zqx.cloudfront.net/groups/nyacp/images/nyacp_2019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tc>
            </w:tr>
          </w:tbl>
          <w:p w:rsidR="0019649C" w:rsidRDefault="0019649C">
            <w:pPr>
              <w:jc w:val="center"/>
              <w:rPr>
                <w:rFonts w:ascii="Times New Roman" w:eastAsia="Times New Roman" w:hAnsi="Times New Roman" w:cs="Times New Roman"/>
                <w:sz w:val="20"/>
                <w:szCs w:val="20"/>
              </w:rPr>
            </w:pPr>
          </w:p>
        </w:tc>
      </w:tr>
      <w:tr w:rsidR="0019649C" w:rsidTr="0019649C">
        <w:trPr>
          <w:trHeight w:val="165"/>
          <w:tblCellSpacing w:w="0" w:type="dxa"/>
          <w:jc w:val="center"/>
        </w:trPr>
        <w:tc>
          <w:tcPr>
            <w:tcW w:w="0" w:type="auto"/>
            <w:tcBorders>
              <w:top w:val="nil"/>
              <w:left w:val="nil"/>
              <w:bottom w:val="nil"/>
              <w:right w:val="nil"/>
            </w:tcBorders>
            <w:shd w:val="clear" w:color="auto" w:fill="EEEEEE"/>
            <w:vAlign w:val="center"/>
            <w:hideMark/>
          </w:tcPr>
          <w:p w:rsidR="0019649C" w:rsidRDefault="0019649C">
            <w:pPr>
              <w:rPr>
                <w:rFonts w:ascii="Verdana" w:eastAsia="Times New Roman" w:hAnsi="Verdana"/>
                <w:b/>
                <w:bCs/>
                <w:color w:val="585858"/>
                <w:sz w:val="20"/>
                <w:szCs w:val="20"/>
              </w:rPr>
            </w:pPr>
            <w:r>
              <w:rPr>
                <w:rFonts w:ascii="Verdana" w:eastAsia="Times New Roman" w:hAnsi="Verdana"/>
                <w:b/>
                <w:bCs/>
                <w:color w:val="585858"/>
                <w:sz w:val="20"/>
                <w:szCs w:val="20"/>
              </w:rPr>
              <w:t> </w:t>
            </w:r>
          </w:p>
        </w:tc>
      </w:tr>
      <w:tr w:rsidR="0019649C" w:rsidTr="0019649C">
        <w:trPr>
          <w:tblCellSpacing w:w="0" w:type="dxa"/>
          <w:jc w:val="center"/>
        </w:trPr>
        <w:tc>
          <w:tcPr>
            <w:tcW w:w="0" w:type="auto"/>
            <w:tcBorders>
              <w:top w:val="nil"/>
              <w:left w:val="nil"/>
              <w:bottom w:val="nil"/>
              <w:right w:val="nil"/>
            </w:tcBorders>
            <w:hideMark/>
          </w:tcPr>
          <w:tbl>
            <w:tblPr>
              <w:tblW w:w="5000" w:type="pct"/>
              <w:jc w:val="center"/>
              <w:tblCellSpacing w:w="0" w:type="dxa"/>
              <w:tblCellMar>
                <w:top w:w="38" w:type="dxa"/>
                <w:left w:w="38" w:type="dxa"/>
                <w:bottom w:w="38" w:type="dxa"/>
                <w:right w:w="38" w:type="dxa"/>
              </w:tblCellMar>
              <w:tblLook w:val="04A0" w:firstRow="1" w:lastRow="0" w:firstColumn="1" w:lastColumn="0" w:noHBand="0" w:noVBand="1"/>
            </w:tblPr>
            <w:tblGrid>
              <w:gridCol w:w="9000"/>
            </w:tblGrid>
            <w:tr w:rsidR="0019649C">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924"/>
                  </w:tblGrid>
                  <w:tr w:rsidR="0019649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924"/>
                        </w:tblGrid>
                        <w:tr w:rsidR="0019649C">
                          <w:trPr>
                            <w:tblCellSpacing w:w="0" w:type="dxa"/>
                          </w:trPr>
                          <w:tc>
                            <w:tcPr>
                              <w:tcW w:w="5000" w:type="pct"/>
                              <w:hideMark/>
                            </w:tcPr>
                            <w:p w:rsidR="0019649C" w:rsidRDefault="0019649C">
                              <w:pPr>
                                <w:pStyle w:val="NormalWeb"/>
                                <w:rPr>
                                  <w:rFonts w:ascii="Verdana" w:hAnsi="Verdana"/>
                                  <w:color w:val="000000"/>
                                  <w:sz w:val="20"/>
                                  <w:szCs w:val="20"/>
                                </w:rPr>
                              </w:pPr>
                              <w:r>
                                <w:rPr>
                                  <w:rFonts w:ascii="Trebuchet MS" w:hAnsi="Trebuchet MS"/>
                                  <w:b/>
                                  <w:bCs/>
                                  <w:color w:val="000000"/>
                                  <w:sz w:val="21"/>
                                  <w:szCs w:val="21"/>
                                </w:rPr>
                                <w:t>Opioid and Substance Abuse Disorder Resources:</w:t>
                              </w:r>
                              <w:r>
                                <w:rPr>
                                  <w:rFonts w:ascii="Verdana" w:hAnsi="Verdana"/>
                                  <w:color w:val="000000"/>
                                  <w:sz w:val="20"/>
                                  <w:szCs w:val="20"/>
                                </w:rPr>
                                <w:br/>
                              </w:r>
                              <w:r>
                                <w:rPr>
                                  <w:rStyle w:val="Emphasis"/>
                                  <w:rFonts w:ascii="Trebuchet MS" w:hAnsi="Trebuchet MS"/>
                                  <w:color w:val="000000"/>
                                  <w:sz w:val="21"/>
                                  <w:szCs w:val="21"/>
                                </w:rPr>
                                <w:t>NYACP Members can earn a $500 honorarium</w:t>
                              </w:r>
                              <w:r>
                                <w:rPr>
                                  <w:rFonts w:ascii="Verdana" w:hAnsi="Verdana"/>
                                  <w:color w:val="000000"/>
                                  <w:sz w:val="20"/>
                                  <w:szCs w:val="20"/>
                                </w:rPr>
                                <w:t xml:space="preserve"> </w:t>
                              </w:r>
                              <w:r>
                                <w:rPr>
                                  <w:noProof/>
                                </w:rPr>
                                <w:drawing>
                                  <wp:anchor distT="142875" distB="142875" distL="47625" distR="47625" simplePos="0" relativeHeight="251658240" behindDoc="0" locked="0" layoutInCell="1" allowOverlap="0">
                                    <wp:simplePos x="0" y="0"/>
                                    <wp:positionH relativeFrom="column">
                                      <wp:align>right</wp:align>
                                    </wp:positionH>
                                    <wp:positionV relativeFrom="line">
                                      <wp:posOffset>0</wp:posOffset>
                                    </wp:positionV>
                                    <wp:extent cx="952500" cy="638175"/>
                                    <wp:effectExtent l="0" t="0" r="0" b="9525"/>
                                    <wp:wrapSquare wrapText="bothSides"/>
                                    <wp:docPr id="12" name="Picture 12" descr="https://d3dkdvqff0zqx.cloudfront.net/groups/nyacp/images/drug%20utilization%20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dkdvqff0zqx.cloudfront.net/groups/nyacp/images/drug%20utilization%20review.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0000"/>
                                  <w:sz w:val="20"/>
                                  <w:szCs w:val="20"/>
                                </w:rPr>
                                <w:br/>
                              </w:r>
                              <w:r>
                                <w:rPr>
                                  <w:rFonts w:ascii="Verdana" w:hAnsi="Verdana"/>
                                  <w:color w:val="000000"/>
                                  <w:sz w:val="20"/>
                                  <w:szCs w:val="20"/>
                                </w:rPr>
                                <w:br/>
                              </w:r>
                              <w:r>
                                <w:rPr>
                                  <w:rFonts w:ascii="Verdana" w:hAnsi="Verdana"/>
                                  <w:color w:val="000000"/>
                                  <w:sz w:val="18"/>
                                  <w:szCs w:val="18"/>
                                </w:rPr>
                                <w:t>The College has partnered with the American Academy of Addiction Psychiatry (AAAP) and a coalition of national professional organizations on two SAMHSA-funded initiatives, the Provider Clinical Support System (PCSS) and Opioid Response Network programs, to combat the opioid crisis.  As a part of these programs, ACP hosted a virtual quality improvement chronic pain leadership-training program in May of 2019. Due to the success of this event, we have decided to offer a second round of training, details of which are below:</w:t>
                              </w:r>
                            </w:p>
                            <w:p w:rsidR="0019649C" w:rsidRDefault="0019649C">
                              <w:pPr>
                                <w:numPr>
                                  <w:ilvl w:val="0"/>
                                  <w:numId w:val="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18"/>
                                  <w:szCs w:val="18"/>
                                </w:rPr>
                                <w:t> A 2 hour webinar providing an overview on how to apply ACP’s QI methodology to improve chronic pain management and safe opioid prescribing on November 20, 2019.</w:t>
                              </w:r>
                              <w:r>
                                <w:rPr>
                                  <w:rFonts w:ascii="Verdana" w:eastAsia="Times New Roman" w:hAnsi="Verdana"/>
                                  <w:color w:val="000000"/>
                                  <w:sz w:val="20"/>
                                  <w:szCs w:val="20"/>
                                </w:rPr>
                                <w:br/>
                                <w:t> </w:t>
                              </w:r>
                            </w:p>
                            <w:p w:rsidR="0019649C" w:rsidRDefault="0019649C">
                              <w:pPr>
                                <w:numPr>
                                  <w:ilvl w:val="0"/>
                                  <w:numId w:val="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18"/>
                                  <w:szCs w:val="18"/>
                                </w:rPr>
                                <w:t> A series of 4 coaching calls with expert QI faculty to support implementation of a QI project focused on chronic pain management through January 2020.</w:t>
                              </w:r>
                              <w:r>
                                <w:rPr>
                                  <w:rFonts w:ascii="Verdana" w:eastAsia="Times New Roman" w:hAnsi="Verdana"/>
                                  <w:color w:val="000000"/>
                                  <w:sz w:val="20"/>
                                  <w:szCs w:val="20"/>
                                </w:rPr>
                                <w:br/>
                                <w:t> </w:t>
                              </w:r>
                            </w:p>
                            <w:p w:rsidR="0019649C" w:rsidRDefault="0019649C">
                              <w:pPr>
                                <w:numPr>
                                  <w:ilvl w:val="0"/>
                                  <w:numId w:val="1"/>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18"/>
                                  <w:szCs w:val="18"/>
                                </w:rPr>
                                <w:t> Participants will be asked to submit a summary report of program outcomes to ACP no later than January 31, 2020.</w:t>
                              </w:r>
                            </w:p>
                            <w:p w:rsidR="0019649C" w:rsidRDefault="0019649C">
                              <w:pPr>
                                <w:pStyle w:val="NormalWeb"/>
                                <w:rPr>
                                  <w:rFonts w:ascii="Verdana" w:hAnsi="Verdana"/>
                                  <w:color w:val="000000"/>
                                  <w:sz w:val="20"/>
                                  <w:szCs w:val="20"/>
                                </w:rPr>
                              </w:pPr>
                              <w:r>
                                <w:rPr>
                                  <w:rFonts w:ascii="Verdana" w:hAnsi="Verdana"/>
                                  <w:color w:val="000000"/>
                                  <w:sz w:val="18"/>
                                  <w:szCs w:val="18"/>
                                </w:rPr>
                                <w:t>Interested participants should apply through the following link: </w:t>
                              </w:r>
                              <w:hyperlink r:id="rId7" w:history="1">
                                <w:r>
                                  <w:rPr>
                                    <w:rStyle w:val="Hyperlink"/>
                                    <w:rFonts w:ascii="Verdana" w:hAnsi="Verdana"/>
                                    <w:sz w:val="18"/>
                                    <w:szCs w:val="18"/>
                                  </w:rPr>
                                  <w:t>https://www.surveymonkey.com/r/PBMTPHP</w:t>
                                </w:r>
                              </w:hyperlink>
                            </w:p>
                            <w:p w:rsidR="0019649C" w:rsidRDefault="0019649C">
                              <w:pPr>
                                <w:rPr>
                                  <w:rFonts w:ascii="Verdana" w:eastAsia="Times New Roman" w:hAnsi="Verdana"/>
                                  <w:color w:val="000000"/>
                                  <w:sz w:val="20"/>
                                  <w:szCs w:val="20"/>
                                </w:rPr>
                              </w:pPr>
                              <w:r>
                                <w:rPr>
                                  <w:rFonts w:ascii="Verdana" w:hAnsi="Verdana"/>
                                  <w:color w:val="000000"/>
                                  <w:sz w:val="18"/>
                                  <w:szCs w:val="18"/>
                                </w:rPr>
                                <w:t>Program Application Criteria: New participants may apply (participation in the May virtual training disqualifies you from applying again)</w:t>
                              </w:r>
                              <w:r>
                                <w:rPr>
                                  <w:rFonts w:ascii="Verdana" w:eastAsia="Times New Roman" w:hAnsi="Verdana"/>
                                  <w:color w:val="000000"/>
                                  <w:sz w:val="20"/>
                                  <w:szCs w:val="20"/>
                                </w:rPr>
                                <w:t xml:space="preserve"> </w:t>
                              </w:r>
                            </w:p>
                            <w:p w:rsidR="0019649C" w:rsidRDefault="0019649C">
                              <w:pPr>
                                <w:jc w:val="center"/>
                                <w:rPr>
                                  <w:rFonts w:ascii="Verdana" w:eastAsia="Times New Roman" w:hAnsi="Verdana"/>
                                  <w:color w:val="000000"/>
                                  <w:sz w:val="20"/>
                                  <w:szCs w:val="20"/>
                                </w:rPr>
                              </w:pPr>
                              <w:r>
                                <w:rPr>
                                  <w:rFonts w:ascii="Verdana" w:eastAsia="Times New Roman" w:hAnsi="Verdana"/>
                                  <w:color w:val="000000"/>
                                  <w:sz w:val="20"/>
                                  <w:szCs w:val="20"/>
                                </w:rPr>
                                <w:pict>
                                  <v:rect id="_x0000_i1026" style="width:468pt;height:1.5pt" o:hralign="center" o:hrstd="t" o:hr="t" fillcolor="#a0a0a0" stroked="f"/>
                                </w:pict>
                              </w:r>
                            </w:p>
                            <w:p w:rsidR="0019649C" w:rsidRDefault="0019649C">
                              <w:pPr>
                                <w:pStyle w:val="NormalWeb"/>
                                <w:rPr>
                                  <w:rFonts w:ascii="Verdana" w:hAnsi="Verdana"/>
                                  <w:color w:val="000000"/>
                                  <w:sz w:val="20"/>
                                  <w:szCs w:val="20"/>
                                </w:rPr>
                              </w:pPr>
                              <w:r>
                                <w:rPr>
                                  <w:rStyle w:val="Strong"/>
                                  <w:rFonts w:ascii="Trebuchet MS" w:hAnsi="Trebuchet MS"/>
                                  <w:color w:val="000000"/>
                                  <w:sz w:val="24"/>
                                  <w:szCs w:val="24"/>
                                </w:rPr>
                                <w:t>Spotlight on Geriatrics</w:t>
                              </w:r>
                              <w:r>
                                <w:rPr>
                                  <w:rFonts w:ascii="Verdana" w:hAnsi="Verdana"/>
                                  <w:color w:val="000000"/>
                                  <w:sz w:val="20"/>
                                  <w:szCs w:val="20"/>
                                </w:rPr>
                                <w:t xml:space="preserve"> </w:t>
                              </w:r>
                              <w:r>
                                <w:rPr>
                                  <w:noProof/>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1543050"/>
                                    <wp:effectExtent l="0" t="0" r="0" b="0"/>
                                    <wp:wrapSquare wrapText="bothSides"/>
                                    <wp:docPr id="11" name="Picture 11" descr="https://d3dkdvqff0zqx.cloudfront.net/groups/nyacp/images/clip%20art/elder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dkdvqff0zqx.cloudfront.net/groups/nyacp/images/clip%20art/elderly.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15430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0000"/>
                                  <w:sz w:val="20"/>
                                  <w:szCs w:val="20"/>
                                </w:rPr>
                                <w:br/>
                              </w:r>
                              <w:r>
                                <w:rPr>
                                  <w:rFonts w:ascii="Verdana" w:hAnsi="Verdana"/>
                                  <w:color w:val="000000"/>
                                  <w:sz w:val="20"/>
                                  <w:szCs w:val="20"/>
                                </w:rPr>
                                <w:br/>
                              </w:r>
                              <w:r>
                                <w:rPr>
                                  <w:rFonts w:ascii="Trebuchet MS" w:hAnsi="Trebuchet MS"/>
                                  <w:b/>
                                  <w:bCs/>
                                  <w:color w:val="000000"/>
                                  <w:sz w:val="21"/>
                                  <w:szCs w:val="21"/>
                                </w:rPr>
                                <w:t>The Importance of Caregiver Support</w:t>
                              </w:r>
                              <w:r>
                                <w:rPr>
                                  <w:rFonts w:ascii="Verdana" w:hAnsi="Verdana"/>
                                  <w:color w:val="000000"/>
                                  <w:sz w:val="20"/>
                                  <w:szCs w:val="20"/>
                                </w:rPr>
                                <w:br/>
                              </w:r>
                              <w:r>
                                <w:rPr>
                                  <w:rFonts w:ascii="Trebuchet MS" w:hAnsi="Trebuchet MS"/>
                                  <w:i/>
                                  <w:iCs/>
                                  <w:color w:val="000000"/>
                                  <w:sz w:val="21"/>
                                  <w:szCs w:val="21"/>
                                </w:rPr>
                                <w:t>By Daniel King, MD, FACP</w:t>
                              </w:r>
                              <w:r>
                                <w:rPr>
                                  <w:rFonts w:ascii="Trebuchet MS" w:hAnsi="Trebuchet MS"/>
                                  <w:color w:val="000000"/>
                                  <w:sz w:val="21"/>
                                  <w:szCs w:val="21"/>
                                </w:rPr>
                                <w:t xml:space="preserve"> </w:t>
                              </w:r>
                              <w:r>
                                <w:rPr>
                                  <w:rFonts w:ascii="Verdana" w:hAnsi="Verdana"/>
                                  <w:color w:val="000000"/>
                                  <w:sz w:val="20"/>
                                  <w:szCs w:val="20"/>
                                </w:rPr>
                                <w:br/>
                              </w:r>
                              <w:r>
                                <w:rPr>
                                  <w:rFonts w:ascii="Verdana" w:hAnsi="Verdana"/>
                                  <w:color w:val="000000"/>
                                  <w:sz w:val="20"/>
                                  <w:szCs w:val="20"/>
                                </w:rPr>
                                <w:br/>
                              </w:r>
                              <w:r>
                                <w:rPr>
                                  <w:rFonts w:ascii="Verdana" w:hAnsi="Verdana"/>
                                  <w:color w:val="000000"/>
                                  <w:sz w:val="18"/>
                                  <w:szCs w:val="18"/>
                                </w:rPr>
                                <w:t xml:space="preserve"> “The Important thing,” Don kept saying through the visit, “is that we are together.”   “Together” is the key word here—because after nearly 50 years of marriage—Janet became overwhelmingly anxious and sometimes even violent when Don was not around.  Don described how he and his wife attempted to hold on to the last vestiges of a once busy social schedule: how they continued going to the neighborhood book club until one day the neighbors approached him and told him not to bring Janet anymore, and how he used to enjoy golf 2-3 times a week, but now is lucky to get out once a month when one of his children is able to sit with Janet for a couple of hours.  The couple still enjoys eating out with old friends, but the dinner conversation has grown increasingly awkward, as Janet is prone to declare non-sequiturs at very inappropriate times.   Even as Janet seems unsettled when Don is not around, the opposite is also true.  There are times when she will rush at him, fear in her eyes, confused as to who this strange man (Don) is in her house.  In her fear, she sometimes attempts to hit him.  She is distressed that he is keeping her from her parents (who have been dead for 25 years).   Janet has Alzheimer’s.  Her once vibrant and engaged </w:t>
                              </w:r>
                              <w:r>
                                <w:rPr>
                                  <w:rFonts w:ascii="Verdana" w:hAnsi="Verdana"/>
                                  <w:color w:val="000000"/>
                                  <w:sz w:val="18"/>
                                  <w:szCs w:val="18"/>
                                </w:rPr>
                                <w:lastRenderedPageBreak/>
                                <w:t xml:space="preserve">personality erodes day by day.   Don, her husband of 50 years is now her full time caregiver.  His primary focus is the goal of protecting his once strong wife and supporting her as best he can </w:t>
                              </w:r>
                              <w:r>
                                <w:rPr>
                                  <w:rFonts w:ascii="Verdana" w:hAnsi="Verdana"/>
                                  <w:i/>
                                  <w:iCs/>
                                  <w:color w:val="000000"/>
                                  <w:sz w:val="18"/>
                                  <w:szCs w:val="18"/>
                                </w:rPr>
                                <w:t>in their own</w:t>
                              </w:r>
                              <w:r>
                                <w:rPr>
                                  <w:rFonts w:ascii="Verdana" w:hAnsi="Verdana"/>
                                  <w:color w:val="000000"/>
                                  <w:sz w:val="18"/>
                                  <w:szCs w:val="18"/>
                                </w:rPr>
                                <w:t xml:space="preserve"> home.  </w:t>
                              </w:r>
                              <w:r>
                                <w:rPr>
                                  <w:rFonts w:ascii="Verdana" w:hAnsi="Verdana"/>
                                  <w:color w:val="000000"/>
                                  <w:sz w:val="20"/>
                                  <w:szCs w:val="20"/>
                                </w:rPr>
                                <w:br/>
                              </w:r>
                              <w:r>
                                <w:rPr>
                                  <w:rFonts w:ascii="Verdana" w:hAnsi="Verdana"/>
                                  <w:color w:val="000000"/>
                                  <w:sz w:val="20"/>
                                  <w:szCs w:val="20"/>
                                </w:rPr>
                                <w:br/>
                              </w:r>
                              <w:hyperlink r:id="rId9" w:tgtFrame="_blank" w:history="1">
                                <w:r>
                                  <w:rPr>
                                    <w:rStyle w:val="Hyperlink"/>
                                    <w:rFonts w:ascii="Trebuchet MS" w:hAnsi="Trebuchet MS"/>
                                    <w:b/>
                                    <w:bCs/>
                                    <w:sz w:val="18"/>
                                    <w:szCs w:val="18"/>
                                  </w:rPr>
                                  <w:t>&lt;&lt;Read More&gt;&gt;</w:t>
                                </w:r>
                              </w:hyperlink>
                            </w:p>
                            <w:p w:rsidR="0019649C" w:rsidRDefault="0019649C">
                              <w:pPr>
                                <w:jc w:val="center"/>
                                <w:rPr>
                                  <w:rFonts w:ascii="Verdana" w:eastAsia="Times New Roman" w:hAnsi="Verdana"/>
                                  <w:color w:val="000000"/>
                                  <w:sz w:val="20"/>
                                  <w:szCs w:val="20"/>
                                </w:rPr>
                              </w:pPr>
                              <w:r>
                                <w:rPr>
                                  <w:rFonts w:ascii="Verdana" w:eastAsia="Times New Roman" w:hAnsi="Verdana"/>
                                  <w:color w:val="000000"/>
                                  <w:sz w:val="20"/>
                                  <w:szCs w:val="20"/>
                                </w:rPr>
                                <w:pict>
                                  <v:rect id="_x0000_i1027" style="width:468pt;height:.75pt" o:hralign="center" o:hrstd="t" o:hr="t" fillcolor="#a0a0a0" stroked="f"/>
                                </w:pict>
                              </w:r>
                            </w:p>
                            <w:p w:rsidR="0019649C" w:rsidRDefault="0019649C">
                              <w:pPr>
                                <w:pStyle w:val="NormalWeb"/>
                                <w:rPr>
                                  <w:rFonts w:ascii="Verdana" w:hAnsi="Verdana"/>
                                  <w:color w:val="000000"/>
                                  <w:sz w:val="20"/>
                                  <w:szCs w:val="20"/>
                                </w:rPr>
                              </w:pPr>
                              <w:r>
                                <w:rPr>
                                  <w:rStyle w:val="Strong"/>
                                  <w:rFonts w:ascii="Trebuchet MS" w:hAnsi="Trebuchet MS"/>
                                  <w:color w:val="000000"/>
                                  <w:sz w:val="21"/>
                                  <w:szCs w:val="21"/>
                                </w:rPr>
                                <w:t>New DynaMed Release Provides Seamless Access For ACP Members</w:t>
                              </w:r>
                              <w:r>
                                <w:rPr>
                                  <w:rFonts w:ascii="Verdana" w:hAnsi="Verdana"/>
                                  <w:color w:val="000000"/>
                                  <w:sz w:val="20"/>
                                  <w:szCs w:val="20"/>
                                </w:rPr>
                                <w:t xml:space="preserve"> </w:t>
                              </w:r>
                              <w:r>
                                <w:rPr>
                                  <w:noProof/>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952500" cy="952500"/>
                                    <wp:effectExtent l="0" t="0" r="0" b="0"/>
                                    <wp:wrapSquare wrapText="bothSides"/>
                                    <wp:docPr id="10" name="Picture 10" descr="https://d3dkdvqff0zqx.cloudfront.net/groups/nyacp/images/dy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3dkdvqff0zqx.cloudfront.net/groups/nyacp/images/dynamed.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rsidR="0019649C" w:rsidRDefault="0019649C">
                              <w:pPr>
                                <w:pStyle w:val="NormalWeb"/>
                                <w:rPr>
                                  <w:rFonts w:ascii="Verdana" w:hAnsi="Verdana"/>
                                  <w:color w:val="000000"/>
                                  <w:sz w:val="20"/>
                                  <w:szCs w:val="20"/>
                                </w:rPr>
                              </w:pPr>
                              <w:r>
                                <w:rPr>
                                  <w:rFonts w:ascii="Verdana" w:hAnsi="Verdana"/>
                                  <w:color w:val="000000"/>
                                  <w:sz w:val="18"/>
                                  <w:szCs w:val="18"/>
                                </w:rPr>
                                <w:t>ACP members now have seamless access to the completely redesigned DynaMed®  clinical decision support tool.</w:t>
                              </w:r>
                              <w:r>
                                <w:rPr>
                                  <w:rFonts w:ascii="Verdana" w:hAnsi="Verdana"/>
                                  <w:color w:val="000000"/>
                                  <w:sz w:val="20"/>
                                  <w:szCs w:val="20"/>
                                </w:rPr>
                                <w:br/>
                              </w:r>
                              <w:r>
                                <w:rPr>
                                  <w:rFonts w:ascii="Verdana" w:hAnsi="Verdana"/>
                                  <w:color w:val="000000"/>
                                  <w:sz w:val="20"/>
                                  <w:szCs w:val="20"/>
                                </w:rPr>
                                <w:br/>
                              </w:r>
                              <w:r>
                                <w:rPr>
                                  <w:rStyle w:val="Strong"/>
                                  <w:rFonts w:ascii="Trebuchet MS" w:hAnsi="Trebuchet MS"/>
                                  <w:color w:val="000000"/>
                                </w:rPr>
                                <w:t>A Free Member Benefit</w:t>
                              </w:r>
                              <w:r>
                                <w:rPr>
                                  <w:rFonts w:ascii="Verdana" w:hAnsi="Verdana"/>
                                  <w:color w:val="000000"/>
                                  <w:sz w:val="20"/>
                                  <w:szCs w:val="20"/>
                                </w:rPr>
                                <w:br/>
                              </w:r>
                              <w:r>
                                <w:rPr>
                                  <w:rFonts w:ascii="Verdana" w:hAnsi="Verdana"/>
                                  <w:color w:val="000000"/>
                                  <w:sz w:val="20"/>
                                  <w:szCs w:val="20"/>
                                </w:rPr>
                                <w:br/>
                              </w:r>
                              <w:r>
                                <w:rPr>
                                  <w:rFonts w:ascii="Verdana" w:hAnsi="Verdana"/>
                                  <w:color w:val="000000"/>
                                  <w:sz w:val="18"/>
                                  <w:szCs w:val="18"/>
                                </w:rPr>
                                <w:t>DynaMed is a benefit of ACP membership that ensures confidence in clinical decision making. It complements and clarifies the evidence and includes key takeaways, synopses, and clearly defined recommendations. DynaMed content is updated daily and includes thousands of graphics and images.</w:t>
                              </w:r>
                              <w:r>
                                <w:rPr>
                                  <w:rFonts w:ascii="Verdana" w:hAnsi="Verdana"/>
                                  <w:color w:val="000000"/>
                                  <w:sz w:val="18"/>
                                  <w:szCs w:val="18"/>
                                </w:rPr>
                                <w:br/>
                              </w:r>
                              <w:r>
                                <w:rPr>
                                  <w:rFonts w:ascii="Verdana" w:hAnsi="Verdana"/>
                                  <w:color w:val="000000"/>
                                  <w:sz w:val="18"/>
                                  <w:szCs w:val="18"/>
                                </w:rPr>
                                <w:br/>
                                <w:t>A rigorous editorial process uses a seven-step, evidence-based methodology, and includes systematic literature surveillance. Plus, the free DynaMed mobile app provides clinicians convenient, on-the-go access.</w:t>
                              </w:r>
                              <w:r>
                                <w:rPr>
                                  <w:rFonts w:ascii="Verdana" w:hAnsi="Verdana"/>
                                  <w:color w:val="000000"/>
                                  <w:sz w:val="20"/>
                                  <w:szCs w:val="20"/>
                                </w:rPr>
                                <w:br/>
                              </w:r>
                              <w:r>
                                <w:rPr>
                                  <w:rFonts w:ascii="Verdana" w:hAnsi="Verdana"/>
                                  <w:color w:val="000000"/>
                                  <w:sz w:val="20"/>
                                  <w:szCs w:val="20"/>
                                </w:rPr>
                                <w:br/>
                              </w:r>
                              <w:r>
                                <w:rPr>
                                  <w:rStyle w:val="Strong"/>
                                  <w:rFonts w:ascii="Trebuchet MS" w:hAnsi="Trebuchet MS"/>
                                  <w:color w:val="000000"/>
                                </w:rPr>
                                <w:t>Easy to Use</w:t>
                              </w:r>
                              <w:r>
                                <w:rPr>
                                  <w:rFonts w:ascii="Verdana" w:hAnsi="Verdana"/>
                                  <w:color w:val="000000"/>
                                  <w:sz w:val="20"/>
                                  <w:szCs w:val="20"/>
                                </w:rPr>
                                <w:br/>
                              </w:r>
                              <w:r>
                                <w:rPr>
                                  <w:rFonts w:ascii="Verdana" w:hAnsi="Verdana"/>
                                  <w:color w:val="000000"/>
                                  <w:sz w:val="18"/>
                                  <w:szCs w:val="18"/>
                                </w:rPr>
                                <w:t>Simply log in to your ACP online account when you visit acponline.org/dynamed, or open the mobile app and use your ACP online account credentials.</w:t>
                              </w:r>
                              <w:r>
                                <w:rPr>
                                  <w:rFonts w:ascii="Verdana" w:hAnsi="Verdana"/>
                                  <w:color w:val="000000"/>
                                  <w:sz w:val="20"/>
                                  <w:szCs w:val="20"/>
                                </w:rPr>
                                <w:br/>
                              </w:r>
                              <w:r>
                                <w:rPr>
                                  <w:rFonts w:ascii="Verdana" w:hAnsi="Verdana"/>
                                  <w:color w:val="000000"/>
                                  <w:sz w:val="20"/>
                                  <w:szCs w:val="20"/>
                                </w:rPr>
                                <w:br/>
                              </w:r>
                              <w:r>
                                <w:rPr>
                                  <w:rStyle w:val="Strong"/>
                                  <w:rFonts w:ascii="Trebuchet MS" w:hAnsi="Trebuchet MS"/>
                                  <w:color w:val="000000"/>
                                </w:rPr>
                                <w:t>CME and MOC Credits</w:t>
                              </w:r>
                              <w:r>
                                <w:rPr>
                                  <w:rFonts w:ascii="Verdana" w:hAnsi="Verdana"/>
                                  <w:color w:val="000000"/>
                                  <w:sz w:val="20"/>
                                  <w:szCs w:val="20"/>
                                </w:rPr>
                                <w:br/>
                              </w:r>
                              <w:r>
                                <w:rPr>
                                  <w:rFonts w:ascii="Verdana" w:hAnsi="Verdana"/>
                                  <w:color w:val="000000"/>
                                  <w:sz w:val="18"/>
                                  <w:szCs w:val="18"/>
                                </w:rPr>
                                <w:t>The new release delivers a highly personalized experience that enables users to follow relevant content and tracks usage for CME and MOC credits.</w:t>
                              </w:r>
                              <w:r>
                                <w:rPr>
                                  <w:rFonts w:ascii="Verdana" w:hAnsi="Verdana"/>
                                  <w:color w:val="000000"/>
                                  <w:sz w:val="18"/>
                                  <w:szCs w:val="18"/>
                                </w:rPr>
                                <w:br/>
                              </w:r>
                              <w:r>
                                <w:rPr>
                                  <w:rFonts w:ascii="Verdana" w:hAnsi="Verdana"/>
                                  <w:color w:val="000000"/>
                                  <w:sz w:val="18"/>
                                  <w:szCs w:val="18"/>
                                </w:rPr>
                                <w:br/>
                                <w:t>For more information, please contact Susan McKeown, Senior Marketing Associate, at </w:t>
                              </w:r>
                              <w:hyperlink r:id="rId11" w:tgtFrame="_blank" w:history="1">
                                <w:r>
                                  <w:rPr>
                                    <w:rStyle w:val="Hyperlink"/>
                                    <w:rFonts w:ascii="Verdana" w:hAnsi="Verdana"/>
                                    <w:sz w:val="18"/>
                                    <w:szCs w:val="18"/>
                                  </w:rPr>
                                  <w:t>smckeown@acponline.org</w:t>
                                </w:r>
                              </w:hyperlink>
                              <w:r>
                                <w:rPr>
                                  <w:rFonts w:ascii="Verdana" w:hAnsi="Verdana"/>
                                  <w:color w:val="000000"/>
                                  <w:sz w:val="18"/>
                                  <w:szCs w:val="18"/>
                                </w:rPr>
                                <w:t> or 215-351-2563.</w:t>
                              </w:r>
                            </w:p>
                            <w:p w:rsidR="0019649C" w:rsidRDefault="0019649C">
                              <w:pPr>
                                <w:jc w:val="center"/>
                                <w:rPr>
                                  <w:rFonts w:ascii="Verdana" w:eastAsia="Times New Roman" w:hAnsi="Verdana"/>
                                  <w:color w:val="000000"/>
                                  <w:sz w:val="20"/>
                                  <w:szCs w:val="20"/>
                                </w:rPr>
                              </w:pPr>
                              <w:r>
                                <w:rPr>
                                  <w:rFonts w:ascii="Verdana" w:eastAsia="Times New Roman" w:hAnsi="Verdana"/>
                                  <w:color w:val="000000"/>
                                  <w:sz w:val="20"/>
                                  <w:szCs w:val="20"/>
                                </w:rPr>
                                <w:pict>
                                  <v:rect id="_x0000_i1028" style="width:468pt;height:.75pt" o:hralign="center" o:hrstd="t" o:hr="t" fillcolor="#a0a0a0" stroked="f"/>
                                </w:pict>
                              </w:r>
                            </w:p>
                            <w:p w:rsidR="0019649C" w:rsidRDefault="0019649C">
                              <w:pPr>
                                <w:pStyle w:val="NormalWeb"/>
                                <w:rPr>
                                  <w:rFonts w:ascii="Verdana" w:hAnsi="Verdana"/>
                                  <w:color w:val="000000"/>
                                  <w:sz w:val="20"/>
                                  <w:szCs w:val="20"/>
                                </w:rPr>
                              </w:pPr>
                              <w:r>
                                <w:rPr>
                                  <w:rStyle w:val="Strong"/>
                                  <w:rFonts w:ascii="Trebuchet MS" w:hAnsi="Trebuchet MS"/>
                                  <w:color w:val="000000"/>
                                  <w:sz w:val="21"/>
                                  <w:szCs w:val="21"/>
                                </w:rPr>
                                <w:t>ACP Leadership Programs Available in Hospital Medicine or Primary Care</w:t>
                              </w:r>
                              <w:r>
                                <w:rPr>
                                  <w:rFonts w:ascii="Verdana" w:hAnsi="Verdana"/>
                                  <w:color w:val="000000"/>
                                  <w:sz w:val="20"/>
                                  <w:szCs w:val="20"/>
                                </w:rPr>
                                <w:t xml:space="preserve"> </w:t>
                              </w:r>
                              <w:r>
                                <w:rPr>
                                  <w:noProof/>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524000" cy="1019175"/>
                                    <wp:effectExtent l="0" t="0" r="0" b="9525"/>
                                    <wp:wrapSquare wrapText="bothSides"/>
                                    <wp:docPr id="9" name="Picture 9" descr="https://d3dkdvqff0zqx.cloudfront.net/groups/nyacp/images/diver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3dkdvqff0zqx.cloudfront.net/groups/nyacp/images/diverse2.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4000" cy="10191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0000"/>
                                  <w:sz w:val="20"/>
                                  <w:szCs w:val="20"/>
                                </w:rPr>
                                <w:br/>
                              </w:r>
                              <w:r>
                                <w:rPr>
                                  <w:rFonts w:ascii="Verdana" w:hAnsi="Verdana"/>
                                  <w:color w:val="000000"/>
                                  <w:sz w:val="20"/>
                                  <w:szCs w:val="20"/>
                                </w:rPr>
                                <w:br/>
                              </w:r>
                              <w:r>
                                <w:rPr>
                                  <w:rFonts w:ascii="Verdana" w:hAnsi="Verdana"/>
                                  <w:color w:val="000000"/>
                                  <w:sz w:val="18"/>
                                  <w:szCs w:val="18"/>
                                </w:rPr>
                                <w:t>In partnership with the American Association for Physician Leadership, the ACP Leadership Academy offers a flexible, 18-month-long </w:t>
                              </w:r>
                              <w:hyperlink r:id="rId13" w:history="1">
                                <w:r>
                                  <w:rPr>
                                    <w:rStyle w:val="Hyperlink"/>
                                    <w:rFonts w:ascii="Verdana" w:hAnsi="Verdana"/>
                                    <w:sz w:val="18"/>
                                    <w:szCs w:val="18"/>
                                  </w:rPr>
                                  <w:t>Certificate in Physician Leadership</w:t>
                                </w:r>
                              </w:hyperlink>
                              <w:r>
                                <w:rPr>
                                  <w:rFonts w:ascii="Verdana" w:hAnsi="Verdana"/>
                                  <w:color w:val="000000"/>
                                  <w:sz w:val="18"/>
                                  <w:szCs w:val="18"/>
                                </w:rPr>
                                <w:t> program with tracks in Hospital Medicine and Primary Care.</w:t>
                              </w:r>
                              <w:r>
                                <w:rPr>
                                  <w:rFonts w:ascii="Verdana" w:hAnsi="Verdana"/>
                                  <w:color w:val="000000"/>
                                  <w:sz w:val="18"/>
                                  <w:szCs w:val="18"/>
                                </w:rPr>
                                <w:br/>
                              </w:r>
                              <w:r>
                                <w:rPr>
                                  <w:rFonts w:ascii="Verdana" w:hAnsi="Verdana"/>
                                  <w:color w:val="000000"/>
                                  <w:sz w:val="18"/>
                                  <w:szCs w:val="18"/>
                                </w:rPr>
                                <w:br/>
                                <w:t>The program includes a combination of formal training through 46.5 hours of online coursework, online group discussions facilitated by leaders in internal medicine, and a capstone project that demonstrates successful mastery of leadership concepts.</w:t>
                              </w:r>
                              <w:r>
                                <w:rPr>
                                  <w:rFonts w:ascii="Verdana" w:hAnsi="Verdana"/>
                                  <w:color w:val="000000"/>
                                  <w:sz w:val="18"/>
                                  <w:szCs w:val="18"/>
                                </w:rPr>
                                <w:br/>
                              </w:r>
                              <w:r>
                                <w:rPr>
                                  <w:rFonts w:ascii="Verdana" w:hAnsi="Verdana"/>
                                  <w:color w:val="000000"/>
                                  <w:sz w:val="18"/>
                                  <w:szCs w:val="18"/>
                                </w:rPr>
                                <w:br/>
                                <w:t>Participants may </w:t>
                              </w:r>
                              <w:hyperlink r:id="rId14" w:tgtFrame="_blank" w:history="1">
                                <w:r>
                                  <w:rPr>
                                    <w:rStyle w:val="Hyperlink"/>
                                    <w:rFonts w:ascii="Verdana" w:hAnsi="Verdana"/>
                                    <w:sz w:val="18"/>
                                    <w:szCs w:val="18"/>
                                  </w:rPr>
                                  <w:t>apply online</w:t>
                                </w:r>
                              </w:hyperlink>
                              <w:r>
                                <w:rPr>
                                  <w:rFonts w:ascii="Verdana" w:hAnsi="Verdana"/>
                                  <w:color w:val="000000"/>
                                  <w:sz w:val="18"/>
                                  <w:szCs w:val="18"/>
                                </w:rPr>
                                <w:t> by </w:t>
                              </w:r>
                              <w:r>
                                <w:rPr>
                                  <w:rStyle w:val="Strong"/>
                                  <w:rFonts w:ascii="Verdana" w:hAnsi="Verdana"/>
                                  <w:color w:val="000000"/>
                                </w:rPr>
                                <w:t>December 1, 2019 </w:t>
                              </w:r>
                              <w:r>
                                <w:rPr>
                                  <w:rFonts w:ascii="Verdana" w:hAnsi="Verdana"/>
                                  <w:color w:val="000000"/>
                                  <w:sz w:val="18"/>
                                  <w:szCs w:val="18"/>
                                </w:rPr>
                                <w:t>to enroll in the cohorts that begin work in January 2020.</w:t>
                              </w:r>
                              <w:r>
                                <w:rPr>
                                  <w:rFonts w:ascii="Verdana" w:hAnsi="Verdana"/>
                                  <w:color w:val="000000"/>
                                  <w:sz w:val="18"/>
                                  <w:szCs w:val="18"/>
                                </w:rPr>
                                <w:br/>
                              </w:r>
                              <w:r>
                                <w:rPr>
                                  <w:rFonts w:ascii="Verdana" w:hAnsi="Verdana"/>
                                  <w:color w:val="000000"/>
                                  <w:sz w:val="18"/>
                                  <w:szCs w:val="18"/>
                                </w:rPr>
                                <w:br/>
                                <w:t>This program offers exclusive training by leadership experts and important career-building skills. In addition, ACP provides participants with access to a number of professional development and membership engagement opportunities.</w:t>
                              </w:r>
                              <w:r>
                                <w:rPr>
                                  <w:rFonts w:ascii="Verdana" w:hAnsi="Verdana"/>
                                  <w:color w:val="000000"/>
                                  <w:sz w:val="18"/>
                                  <w:szCs w:val="18"/>
                                </w:rPr>
                                <w:br/>
                              </w:r>
                              <w:r>
                                <w:rPr>
                                  <w:rFonts w:ascii="Verdana" w:hAnsi="Verdana"/>
                                  <w:color w:val="000000"/>
                                  <w:sz w:val="18"/>
                                  <w:szCs w:val="18"/>
                                </w:rPr>
                                <w:lastRenderedPageBreak/>
                                <w:br/>
                                <w:t>If you have questions or would like more information, please send an email to:   </w:t>
                              </w:r>
                              <w:hyperlink r:id="rId15" w:history="1">
                                <w:r>
                                  <w:rPr>
                                    <w:rStyle w:val="Hyperlink"/>
                                    <w:rFonts w:ascii="Verdana" w:hAnsi="Verdana"/>
                                    <w:sz w:val="18"/>
                                    <w:szCs w:val="18"/>
                                  </w:rPr>
                                  <w:t>lead@acponline.org</w:t>
                                </w:r>
                              </w:hyperlink>
                            </w:p>
                            <w:p w:rsidR="0019649C" w:rsidRDefault="0019649C">
                              <w:pPr>
                                <w:jc w:val="center"/>
                                <w:rPr>
                                  <w:rFonts w:ascii="Verdana" w:eastAsia="Times New Roman" w:hAnsi="Verdana"/>
                                  <w:color w:val="000000"/>
                                  <w:sz w:val="20"/>
                                  <w:szCs w:val="20"/>
                                </w:rPr>
                              </w:pPr>
                              <w:r>
                                <w:rPr>
                                  <w:rFonts w:ascii="Verdana" w:eastAsia="Times New Roman" w:hAnsi="Verdana"/>
                                  <w:color w:val="000000"/>
                                  <w:sz w:val="20"/>
                                  <w:szCs w:val="20"/>
                                </w:rPr>
                                <w:pict>
                                  <v:rect id="_x0000_i1029" style="width:468pt;height:.75pt" o:hralign="center" o:hrstd="t" o:hr="t" fillcolor="#a0a0a0" stroked="f"/>
                                </w:pict>
                              </w:r>
                            </w:p>
                            <w:p w:rsidR="0019649C" w:rsidRDefault="0019649C">
                              <w:pPr>
                                <w:pStyle w:val="NormalWeb"/>
                                <w:rPr>
                                  <w:rFonts w:ascii="Verdana" w:hAnsi="Verdana"/>
                                  <w:color w:val="000000"/>
                                  <w:sz w:val="20"/>
                                  <w:szCs w:val="20"/>
                                </w:rPr>
                              </w:pPr>
                              <w:r>
                                <w:rPr>
                                  <w:rStyle w:val="Strong"/>
                                  <w:rFonts w:ascii="Trebuchet MS" w:hAnsi="Trebuchet MS"/>
                                  <w:color w:val="000000"/>
                                  <w:sz w:val="21"/>
                                  <w:szCs w:val="21"/>
                                </w:rPr>
                                <w:t>Now Available: New Online Collection of Point of Care Ultrasound (POCUS) Modules from ACP</w:t>
                              </w:r>
                              <w:r>
                                <w:rPr>
                                  <w:rFonts w:ascii="Verdana" w:hAnsi="Verdana"/>
                                  <w:color w:val="000000"/>
                                  <w:sz w:val="20"/>
                                  <w:szCs w:val="20"/>
                                </w:rPr>
                                <w:br/>
                              </w:r>
                              <w:r>
                                <w:rPr>
                                  <w:rFonts w:ascii="Verdana" w:hAnsi="Verdana"/>
                                  <w:color w:val="000000"/>
                                  <w:sz w:val="20"/>
                                  <w:szCs w:val="20"/>
                                </w:rPr>
                                <w:br/>
                              </w:r>
                              <w:r>
                                <w:rPr>
                                  <w:rFonts w:ascii="Verdana" w:hAnsi="Verdana"/>
                                  <w:color w:val="000000"/>
                                  <w:sz w:val="18"/>
                                  <w:szCs w:val="18"/>
                                </w:rPr>
                                <w:t>ACP’s </w:t>
                              </w:r>
                              <w:hyperlink r:id="rId16" w:history="1">
                                <w:r>
                                  <w:rPr>
                                    <w:rStyle w:val="Hyperlink"/>
                                    <w:rFonts w:ascii="Verdana" w:hAnsi="Verdana"/>
                                    <w:sz w:val="18"/>
                                    <w:szCs w:val="18"/>
                                  </w:rPr>
                                  <w:t>Online Learning Center</w:t>
                                </w:r>
                              </w:hyperlink>
                              <w:r>
                                <w:rPr>
                                  <w:rFonts w:ascii="Verdana" w:hAnsi="Verdana"/>
                                  <w:color w:val="000000"/>
                                  <w:sz w:val="18"/>
                                  <w:szCs w:val="18"/>
                                </w:rPr>
                                <w:t> now features a collection of new, interactive multimedia POCUS learning modules. With these online activities, physicians can learn appropriate uses of POCUS and develop cognitive skills necessary to implement POCUS throughout internal medicine practice.</w:t>
                              </w:r>
                              <w:r>
                                <w:rPr>
                                  <w:rFonts w:ascii="Verdana" w:hAnsi="Verdana"/>
                                  <w:color w:val="000000"/>
                                  <w:sz w:val="18"/>
                                  <w:szCs w:val="18"/>
                                </w:rPr>
                                <w:br/>
                              </w:r>
                              <w:r>
                                <w:rPr>
                                  <w:rFonts w:ascii="Verdana" w:hAnsi="Verdana"/>
                                  <w:color w:val="000000"/>
                                  <w:sz w:val="18"/>
                                  <w:szCs w:val="18"/>
                                </w:rPr>
                                <w:br/>
                              </w:r>
                              <w:r>
                                <w:rPr>
                                  <w:rStyle w:val="Strong"/>
                                  <w:rFonts w:ascii="Verdana" w:hAnsi="Verdana"/>
                                  <w:color w:val="000000"/>
                                </w:rPr>
                                <w:t>Six new ACP POCUS modules cover a wide array of fundamental topics:</w:t>
                              </w:r>
                            </w:p>
                            <w:p w:rsidR="0019649C" w:rsidRDefault="0019649C">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18"/>
                                  <w:szCs w:val="18"/>
                                </w:rPr>
                                <w:t>Obtaining Adequate Clinical Images for Interpretation</w:t>
                              </w:r>
                            </w:p>
                            <w:p w:rsidR="0019649C" w:rsidRDefault="0019649C">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18"/>
                                  <w:szCs w:val="18"/>
                                </w:rPr>
                                <w:t>Lung Ultrasound</w:t>
                              </w:r>
                            </w:p>
                            <w:p w:rsidR="0019649C" w:rsidRDefault="0019649C">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18"/>
                                  <w:szCs w:val="18"/>
                                </w:rPr>
                                <w:t>Deep Venous Thrombosis</w:t>
                              </w:r>
                            </w:p>
                            <w:p w:rsidR="0019649C" w:rsidRDefault="0019649C">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18"/>
                                  <w:szCs w:val="18"/>
                                </w:rPr>
                                <w:t>Urinary System</w:t>
                              </w:r>
                            </w:p>
                            <w:p w:rsidR="0019649C" w:rsidRDefault="0019649C">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18"/>
                                  <w:szCs w:val="18"/>
                                </w:rPr>
                                <w:t>Abdominal Free Fluid</w:t>
                              </w:r>
                            </w:p>
                            <w:p w:rsidR="0019649C" w:rsidRDefault="0019649C">
                              <w:pPr>
                                <w:numPr>
                                  <w:ilvl w:val="0"/>
                                  <w:numId w:val="2"/>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18"/>
                                  <w:szCs w:val="18"/>
                                </w:rPr>
                                <w:t>Focused Cardiac Imaging</w:t>
                              </w:r>
                            </w:p>
                            <w:p w:rsidR="0019649C" w:rsidRDefault="0019649C">
                              <w:pPr>
                                <w:spacing w:before="100" w:beforeAutospacing="1" w:after="100" w:afterAutospacing="1"/>
                                <w:rPr>
                                  <w:rFonts w:ascii="Verdana" w:hAnsi="Verdana"/>
                                  <w:color w:val="000000"/>
                                  <w:sz w:val="20"/>
                                  <w:szCs w:val="20"/>
                                </w:rPr>
                              </w:pPr>
                              <w:r>
                                <w:rPr>
                                  <w:rFonts w:ascii="Verdana" w:eastAsia="Times New Roman" w:hAnsi="Verdana"/>
                                  <w:color w:val="000000"/>
                                  <w:sz w:val="18"/>
                                  <w:szCs w:val="18"/>
                                </w:rPr>
                                <w:t>POCUS is being used by an increasing number of internal medicine specialists and subspecialists to improve diagnostic timeliness and accuracy.  </w:t>
                              </w:r>
                              <w:r>
                                <w:rPr>
                                  <w:rFonts w:ascii="Verdana" w:eastAsia="Times New Roman" w:hAnsi="Verdana"/>
                                  <w:color w:val="000000"/>
                                  <w:sz w:val="18"/>
                                  <w:szCs w:val="18"/>
                                </w:rPr>
                                <w:br/>
                              </w:r>
                              <w:r>
                                <w:rPr>
                                  <w:rFonts w:ascii="Verdana" w:eastAsia="Times New Roman" w:hAnsi="Verdana"/>
                                  <w:color w:val="000000"/>
                                  <w:sz w:val="18"/>
                                  <w:szCs w:val="18"/>
                                </w:rPr>
                                <w:br/>
                              </w:r>
                              <w:r>
                                <w:rPr>
                                  <w:rStyle w:val="Strong"/>
                                  <w:rFonts w:ascii="Verdana" w:eastAsia="Times New Roman" w:hAnsi="Verdana"/>
                                  <w:color w:val="000000"/>
                                </w:rPr>
                                <w:t>The modules are free to ACP members</w:t>
                              </w:r>
                              <w:r>
                                <w:rPr>
                                  <w:rFonts w:ascii="Verdana" w:eastAsia="Times New Roman" w:hAnsi="Verdana"/>
                                  <w:color w:val="000000"/>
                                  <w:sz w:val="18"/>
                                  <w:szCs w:val="18"/>
                                </w:rPr>
                                <w:t xml:space="preserve"> and the cost is $25 for each module for non-members. Each module in the collection offers free CME for ACP members and non-members who pay for the course, giving participants the opportunity to earn 6 free CME credits for this emerging, increasingly important skill for internists.</w:t>
                              </w:r>
                              <w:r>
                                <w:rPr>
                                  <w:rFonts w:ascii="Verdana" w:eastAsia="Times New Roman" w:hAnsi="Verdana"/>
                                  <w:color w:val="000000"/>
                                  <w:sz w:val="18"/>
                                  <w:szCs w:val="18"/>
                                </w:rPr>
                                <w:br/>
                              </w:r>
                              <w:r>
                                <w:rPr>
                                  <w:rFonts w:ascii="Verdana" w:eastAsia="Times New Roman" w:hAnsi="Verdana"/>
                                  <w:color w:val="000000"/>
                                  <w:sz w:val="18"/>
                                  <w:szCs w:val="18"/>
                                </w:rPr>
                                <w:br/>
                                <w:t>These modules are also the pre-learning materials for ACP’s live POCUS course: “Point-of-Care Ultrasound: Foundational Skills for Internists.” The two-day course will feature small-group, intensive live learning and will be offered Thursday and Friday, November 7 and 8 and again on Saturday and Sunday, November 9 and 10 in the greater Chicago area.  </w:t>
                              </w:r>
                              <w:hyperlink r:id="rId17" w:history="1">
                                <w:r>
                                  <w:rPr>
                                    <w:rStyle w:val="Hyperlink"/>
                                    <w:rFonts w:ascii="Verdana" w:eastAsia="Times New Roman" w:hAnsi="Verdana"/>
                                    <w:sz w:val="18"/>
                                    <w:szCs w:val="18"/>
                                  </w:rPr>
                                  <w:t>Click here for live course registration information</w:t>
                                </w:r>
                              </w:hyperlink>
                              <w:r>
                                <w:rPr>
                                  <w:rFonts w:ascii="Verdana" w:eastAsia="Times New Roman" w:hAnsi="Verdana"/>
                                  <w:color w:val="000000"/>
                                  <w:sz w:val="20"/>
                                  <w:szCs w:val="20"/>
                                </w:rPr>
                                <w:t xml:space="preserve"> </w:t>
                              </w:r>
                            </w:p>
                            <w:p w:rsidR="0019649C" w:rsidRDefault="0019649C">
                              <w:pPr>
                                <w:jc w:val="center"/>
                                <w:rPr>
                                  <w:rFonts w:ascii="Verdana" w:eastAsia="Times New Roman" w:hAnsi="Verdana"/>
                                  <w:color w:val="000000"/>
                                  <w:sz w:val="20"/>
                                  <w:szCs w:val="20"/>
                                </w:rPr>
                              </w:pPr>
                              <w:r>
                                <w:rPr>
                                  <w:rFonts w:ascii="Verdana" w:eastAsia="Times New Roman" w:hAnsi="Verdana"/>
                                  <w:color w:val="000000"/>
                                  <w:sz w:val="20"/>
                                  <w:szCs w:val="20"/>
                                </w:rPr>
                                <w:pict>
                                  <v:rect id="_x0000_i1030" style="width:468pt;height:1.5pt" o:hralign="center" o:hrstd="t" o:hr="t" fillcolor="#a0a0a0" stroked="f"/>
                                </w:pict>
                              </w:r>
                            </w:p>
                            <w:p w:rsidR="0019649C" w:rsidRDefault="0019649C">
                              <w:pPr>
                                <w:pStyle w:val="NormalWeb"/>
                                <w:rPr>
                                  <w:rFonts w:ascii="Verdana" w:hAnsi="Verdana"/>
                                  <w:color w:val="000000"/>
                                  <w:sz w:val="20"/>
                                  <w:szCs w:val="20"/>
                                </w:rPr>
                              </w:pPr>
                              <w:r>
                                <w:rPr>
                                  <w:rStyle w:val="Strong"/>
                                  <w:rFonts w:ascii="Trebuchet MS" w:hAnsi="Trebuchet MS"/>
                                  <w:color w:val="000000"/>
                                  <w:sz w:val="24"/>
                                  <w:szCs w:val="24"/>
                                </w:rPr>
                                <w:t>New Webinars!</w:t>
                              </w:r>
                            </w:p>
                            <w:p w:rsidR="0019649C" w:rsidRDefault="0019649C">
                              <w:pPr>
                                <w:pStyle w:val="NormalWeb"/>
                                <w:rPr>
                                  <w:rFonts w:ascii="Verdana" w:hAnsi="Verdana"/>
                                  <w:color w:val="000000"/>
                                  <w:sz w:val="20"/>
                                  <w:szCs w:val="20"/>
                                </w:rPr>
                              </w:pPr>
                              <w:r>
                                <w:rPr>
                                  <w:noProof/>
                                </w:rPr>
                                <w:drawing>
                                  <wp:anchor distT="24130" distB="24130" distL="24130" distR="24130" simplePos="0" relativeHeight="251658240" behindDoc="0" locked="0" layoutInCell="1" allowOverlap="0">
                                    <wp:simplePos x="0" y="0"/>
                                    <wp:positionH relativeFrom="column">
                                      <wp:align>right</wp:align>
                                    </wp:positionH>
                                    <wp:positionV relativeFrom="line">
                                      <wp:posOffset>0</wp:posOffset>
                                    </wp:positionV>
                                    <wp:extent cx="952500" cy="419100"/>
                                    <wp:effectExtent l="0" t="0" r="0" b="0"/>
                                    <wp:wrapSquare wrapText="bothSides"/>
                                    <wp:docPr id="8" name="Picture 8" descr="https://d3dkdvqff0zqx.cloudfront.net/groups/nyacp/images/acp%20se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3dkdvqff0zqx.cloudfront.net/groups/nyacp/images/acp%20seal(1).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52500" cy="41910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Trebuchet MS" w:hAnsi="Trebuchet MS"/>
                                  <w:color w:val="000000"/>
                                  <w:sz w:val="21"/>
                                  <w:szCs w:val="21"/>
                                </w:rPr>
                                <w:t xml:space="preserve">Advancing to ACP Fellowship </w:t>
                              </w:r>
                              <w:r>
                                <w:rPr>
                                  <w:rFonts w:ascii="Verdana" w:hAnsi="Verdana"/>
                                  <w:color w:val="000000"/>
                                  <w:sz w:val="20"/>
                                  <w:szCs w:val="20"/>
                                </w:rPr>
                                <w:br/>
                              </w:r>
                              <w:r>
                                <w:rPr>
                                  <w:rFonts w:ascii="Verdana" w:hAnsi="Verdana"/>
                                  <w:color w:val="000000"/>
                                  <w:sz w:val="20"/>
                                  <w:szCs w:val="20"/>
                                </w:rPr>
                                <w:br/>
                              </w:r>
                              <w:r>
                                <w:rPr>
                                  <w:rFonts w:ascii="Verdana" w:hAnsi="Verdana"/>
                                  <w:color w:val="000000"/>
                                  <w:sz w:val="18"/>
                                  <w:szCs w:val="18"/>
                                </w:rPr>
                                <w:t>The ACP Leadership Academy will present a webinar on Advancing to ACP Fellowship.  Webinars are open to all ACP members, and attendees will have the opportunity ask questions following the presentations.  </w:t>
                              </w:r>
                              <w:r>
                                <w:rPr>
                                  <w:rFonts w:ascii="Verdana" w:hAnsi="Verdana"/>
                                  <w:color w:val="000000"/>
                                  <w:sz w:val="20"/>
                                  <w:szCs w:val="20"/>
                                </w:rPr>
                                <w:br/>
                              </w:r>
                              <w:r>
                                <w:rPr>
                                  <w:rFonts w:ascii="Verdana" w:hAnsi="Verdana"/>
                                  <w:color w:val="000000"/>
                                  <w:sz w:val="20"/>
                                  <w:szCs w:val="20"/>
                                </w:rPr>
                                <w:br/>
                              </w:r>
                              <w:r>
                                <w:rPr>
                                  <w:rStyle w:val="Strong"/>
                                  <w:rFonts w:ascii="Trebuchet MS" w:hAnsi="Trebuchet MS"/>
                                  <w:color w:val="000000"/>
                                </w:rPr>
                                <w:t>Wednesday, November 6, 2019</w:t>
                              </w:r>
                              <w:r>
                                <w:rPr>
                                  <w:rFonts w:ascii="Verdana" w:hAnsi="Verdana"/>
                                  <w:color w:val="000000"/>
                                  <w:sz w:val="20"/>
                                  <w:szCs w:val="20"/>
                                </w:rPr>
                                <w:br/>
                              </w:r>
                              <w:r>
                                <w:rPr>
                                  <w:rFonts w:ascii="Verdana" w:hAnsi="Verdana"/>
                                  <w:color w:val="000000"/>
                                  <w:sz w:val="18"/>
                                  <w:szCs w:val="18"/>
                                </w:rPr>
                                <w:t>3:00 p.m - 4:00 p.m. ET</w:t>
                              </w:r>
                              <w:r>
                                <w:rPr>
                                  <w:rFonts w:ascii="Verdana" w:hAnsi="Verdana"/>
                                  <w:color w:val="000000"/>
                                  <w:sz w:val="18"/>
                                  <w:szCs w:val="18"/>
                                </w:rPr>
                                <w:br/>
                              </w:r>
                              <w:r>
                                <w:rPr>
                                  <w:rFonts w:ascii="Verdana" w:hAnsi="Verdana"/>
                                  <w:color w:val="000000"/>
                                  <w:sz w:val="18"/>
                                  <w:szCs w:val="18"/>
                                </w:rPr>
                                <w:br/>
                              </w:r>
                              <w:r>
                                <w:rPr>
                                  <w:rStyle w:val="Strong"/>
                                  <w:rFonts w:ascii="Verdana" w:hAnsi="Verdana"/>
                                  <w:color w:val="000000"/>
                                </w:rPr>
                                <w:t xml:space="preserve">Faculty: </w:t>
                              </w:r>
                              <w:r>
                                <w:rPr>
                                  <w:rFonts w:ascii="Verdana" w:hAnsi="Verdana"/>
                                  <w:color w:val="000000"/>
                                  <w:sz w:val="18"/>
                                  <w:szCs w:val="18"/>
                                </w:rPr>
                                <w:t>Matthew B. Carroll, MD, FACP, FACR, Chair of ACP's Credentials Committee, will review the meaning and requirements for ACP Fellowship -- a mark of honor and distinction within the internal medicine community.</w:t>
                              </w:r>
                              <w:r>
                                <w:rPr>
                                  <w:rFonts w:ascii="Verdana" w:hAnsi="Verdana"/>
                                  <w:color w:val="000000"/>
                                  <w:sz w:val="18"/>
                                  <w:szCs w:val="18"/>
                                </w:rPr>
                                <w:br/>
                              </w:r>
                              <w:r>
                                <w:rPr>
                                  <w:rFonts w:ascii="Verdana" w:hAnsi="Verdana"/>
                                  <w:color w:val="000000"/>
                                  <w:sz w:val="18"/>
                                  <w:szCs w:val="18"/>
                                </w:rPr>
                                <w:lastRenderedPageBreak/>
                                <w:br/>
                              </w:r>
                              <w:hyperlink r:id="rId19" w:history="1">
                                <w:r>
                                  <w:rPr>
                                    <w:rStyle w:val="Hyperlink"/>
                                    <w:rFonts w:ascii="Verdana" w:hAnsi="Verdana"/>
                                    <w:b/>
                                    <w:bCs/>
                                    <w:sz w:val="18"/>
                                    <w:szCs w:val="18"/>
                                  </w:rPr>
                                  <w:t>Register Now</w:t>
                                </w:r>
                              </w:hyperlink>
                            </w:p>
                            <w:p w:rsidR="0019649C" w:rsidRDefault="0019649C">
                              <w:pPr>
                                <w:jc w:val="center"/>
                                <w:rPr>
                                  <w:rFonts w:ascii="Verdana" w:eastAsia="Times New Roman" w:hAnsi="Verdana"/>
                                  <w:color w:val="000000"/>
                                  <w:sz w:val="20"/>
                                  <w:szCs w:val="20"/>
                                </w:rPr>
                              </w:pPr>
                              <w:r>
                                <w:rPr>
                                  <w:rFonts w:ascii="Verdana" w:eastAsia="Times New Roman" w:hAnsi="Verdana"/>
                                  <w:color w:val="000000"/>
                                  <w:sz w:val="20"/>
                                  <w:szCs w:val="20"/>
                                </w:rPr>
                                <w:pict>
                                  <v:rect id="_x0000_i1031" style="width:468pt;height:.75pt" o:hralign="center" o:hrstd="t" o:hr="t" fillcolor="#a0a0a0" stroked="f"/>
                                </w:pict>
                              </w:r>
                            </w:p>
                            <w:p w:rsidR="0019649C" w:rsidRDefault="0019649C">
                              <w:pPr>
                                <w:pStyle w:val="NormalWeb"/>
                                <w:rPr>
                                  <w:rFonts w:ascii="Verdana" w:hAnsi="Verdana"/>
                                  <w:color w:val="000000"/>
                                  <w:sz w:val="20"/>
                                  <w:szCs w:val="20"/>
                                </w:rPr>
                              </w:pPr>
                              <w:r>
                                <w:rPr>
                                  <w:rStyle w:val="Strong"/>
                                  <w:rFonts w:ascii="Trebuchet MS" w:hAnsi="Trebuchet MS"/>
                                  <w:color w:val="000000"/>
                                  <w:sz w:val="21"/>
                                  <w:szCs w:val="21"/>
                                </w:rPr>
                                <w:t>Initiating Out-of-Pocket Cost Conversations</w:t>
                              </w:r>
                              <w:r>
                                <w:rPr>
                                  <w:rFonts w:ascii="Verdana" w:hAnsi="Verdana"/>
                                  <w:color w:val="000000"/>
                                  <w:sz w:val="20"/>
                                  <w:szCs w:val="20"/>
                                </w:rPr>
                                <w:t xml:space="preserve"> </w:t>
                              </w:r>
                              <w:r>
                                <w:rPr>
                                  <w:noProof/>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190625" cy="1790700"/>
                                    <wp:effectExtent l="0" t="0" r="9525" b="0"/>
                                    <wp:wrapSquare wrapText="bothSides"/>
                                    <wp:docPr id="7" name="Picture 7" descr="https://d3dkdvqff0zqx.cloudfront.net/groups/nyacp/images/meetings/cost%20of%20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3dkdvqff0zqx.cloudfront.net/groups/nyacp/images/meetings/cost%20of%20care.jp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190625" cy="17907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0000"/>
                                  <w:sz w:val="20"/>
                                  <w:szCs w:val="20"/>
                                </w:rPr>
                                <w:br/>
                              </w:r>
                              <w:r>
                                <w:rPr>
                                  <w:rStyle w:val="Strong"/>
                                  <w:rFonts w:ascii="Trebuchet MS" w:hAnsi="Trebuchet MS"/>
                                  <w:color w:val="000000"/>
                                </w:rPr>
                                <w:t>with Patients: </w:t>
                              </w:r>
                              <w:r>
                                <w:rPr>
                                  <w:rStyle w:val="Emphasis"/>
                                  <w:rFonts w:ascii="Trebuchet MS" w:hAnsi="Trebuchet MS"/>
                                  <w:b/>
                                  <w:bCs/>
                                  <w:color w:val="000000"/>
                                  <w:sz w:val="18"/>
                                  <w:szCs w:val="18"/>
                                </w:rPr>
                                <w:t>Lessons from the Field</w:t>
                              </w:r>
                              <w:r>
                                <w:rPr>
                                  <w:rFonts w:ascii="Verdana" w:hAnsi="Verdana"/>
                                  <w:color w:val="000000"/>
                                  <w:sz w:val="20"/>
                                  <w:szCs w:val="20"/>
                                </w:rPr>
                                <w:br/>
                              </w:r>
                              <w:r>
                                <w:rPr>
                                  <w:rFonts w:ascii="Verdana" w:hAnsi="Verdana"/>
                                  <w:color w:val="000000"/>
                                  <w:sz w:val="20"/>
                                  <w:szCs w:val="20"/>
                                </w:rPr>
                                <w:br/>
                              </w:r>
                              <w:r>
                                <w:rPr>
                                  <w:rStyle w:val="Strong"/>
                                  <w:rFonts w:ascii="Trebuchet MS" w:hAnsi="Trebuchet MS"/>
                                  <w:color w:val="000000"/>
                                </w:rPr>
                                <w:t>Thursday, November 7, 2019</w:t>
                              </w:r>
                              <w:r>
                                <w:rPr>
                                  <w:rFonts w:ascii="Trebuchet MS" w:hAnsi="Trebuchet MS"/>
                                  <w:color w:val="000000"/>
                                  <w:sz w:val="18"/>
                                  <w:szCs w:val="18"/>
                                </w:rPr>
                                <w:br/>
                                <w:t>12:15 pm - 1:00 pm</w:t>
                              </w:r>
                            </w:p>
                            <w:p w:rsidR="0019649C" w:rsidRDefault="0019649C">
                              <w:pPr>
                                <w:pStyle w:val="NormalWeb"/>
                                <w:rPr>
                                  <w:rFonts w:ascii="Verdana" w:hAnsi="Verdana"/>
                                  <w:color w:val="000000"/>
                                  <w:sz w:val="20"/>
                                  <w:szCs w:val="20"/>
                                </w:rPr>
                              </w:pPr>
                              <w:r>
                                <w:rPr>
                                  <w:rStyle w:val="Strong"/>
                                  <w:rFonts w:ascii="Trebuchet MS" w:hAnsi="Trebuchet MS"/>
                                  <w:color w:val="000000"/>
                                </w:rPr>
                                <w:t>Learning Objectives </w:t>
                              </w:r>
                            </w:p>
                            <w:p w:rsidR="0019649C" w:rsidRDefault="0019649C">
                              <w:pPr>
                                <w:pStyle w:val="NormalWeb"/>
                                <w:rPr>
                                  <w:rFonts w:ascii="Verdana" w:hAnsi="Verdana"/>
                                  <w:color w:val="000000"/>
                                  <w:sz w:val="20"/>
                                  <w:szCs w:val="20"/>
                                </w:rPr>
                              </w:pPr>
                              <w:r>
                                <w:rPr>
                                  <w:rFonts w:ascii="Verdana" w:hAnsi="Verdana"/>
                                  <w:color w:val="000000"/>
                                  <w:sz w:val="18"/>
                                  <w:szCs w:val="18"/>
                                </w:rPr>
                                <w:t>At the conclusion of this activity, the participants will:</w:t>
                              </w:r>
                            </w:p>
                            <w:p w:rsidR="0019649C" w:rsidRDefault="0019649C">
                              <w:pPr>
                                <w:numPr>
                                  <w:ilvl w:val="0"/>
                                  <w:numId w:val="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18"/>
                                  <w:szCs w:val="18"/>
                                </w:rPr>
                                <w:t>Analyze first-hand stories from practicing Physicians about the benefits of implementing out-of-pocket cost conversations in their practice.</w:t>
                              </w:r>
                            </w:p>
                            <w:p w:rsidR="0019649C" w:rsidRDefault="0019649C">
                              <w:pPr>
                                <w:numPr>
                                  <w:ilvl w:val="0"/>
                                  <w:numId w:val="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18"/>
                                  <w:szCs w:val="18"/>
                                </w:rPr>
                                <w:t>Identify useful tips, materials and resources for supporting out-of-pocket cost conversations.</w:t>
                              </w:r>
                            </w:p>
                            <w:p w:rsidR="0019649C" w:rsidRDefault="0019649C">
                              <w:pPr>
                                <w:numPr>
                                  <w:ilvl w:val="0"/>
                                  <w:numId w:val="3"/>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18"/>
                                  <w:szCs w:val="18"/>
                                </w:rPr>
                                <w:t>Integrate ideas from practices across New York for implementing out-of-pocket cost conversations</w:t>
                              </w:r>
                            </w:p>
                            <w:p w:rsidR="0019649C" w:rsidRDefault="0019649C">
                              <w:pPr>
                                <w:pStyle w:val="NormalWeb"/>
                                <w:rPr>
                                  <w:rFonts w:ascii="Verdana" w:hAnsi="Verdana"/>
                                  <w:color w:val="000000"/>
                                  <w:sz w:val="20"/>
                                  <w:szCs w:val="20"/>
                                </w:rPr>
                              </w:pPr>
                              <w:r>
                                <w:rPr>
                                  <w:rStyle w:val="Strong"/>
                                  <w:rFonts w:ascii="Verdana" w:hAnsi="Verdana"/>
                                  <w:color w:val="000000"/>
                                </w:rPr>
                                <w:t>Faculty: </w:t>
                              </w:r>
                              <w:r>
                                <w:rPr>
                                  <w:rFonts w:ascii="Verdana" w:hAnsi="Verdana"/>
                                  <w:color w:val="000000"/>
                                  <w:sz w:val="18"/>
                                  <w:szCs w:val="18"/>
                                </w:rPr>
                                <w:t>Amanda Allen, Project Coordinator, NYACP</w:t>
                              </w:r>
                              <w:r>
                                <w:rPr>
                                  <w:rFonts w:ascii="Verdana" w:hAnsi="Verdana"/>
                                  <w:color w:val="000000"/>
                                  <w:sz w:val="20"/>
                                  <w:szCs w:val="20"/>
                                </w:rPr>
                                <w:br/>
                              </w:r>
                              <w:r>
                                <w:rPr>
                                  <w:rFonts w:ascii="Verdana" w:hAnsi="Verdana"/>
                                  <w:color w:val="000000"/>
                                  <w:sz w:val="18"/>
                                  <w:szCs w:val="18"/>
                                </w:rPr>
                                <w:t>Amanda will be joined by NYACP Members who participated in the Early Adopter Incentive Program to implement out-of-pocket cost conversations with their patients. </w:t>
                              </w:r>
                              <w:r>
                                <w:rPr>
                                  <w:rFonts w:ascii="Verdana" w:hAnsi="Verdana"/>
                                  <w:color w:val="000000"/>
                                  <w:sz w:val="20"/>
                                  <w:szCs w:val="20"/>
                                </w:rPr>
                                <w:br/>
                              </w:r>
                              <w:r>
                                <w:rPr>
                                  <w:rFonts w:ascii="Verdana" w:hAnsi="Verdana"/>
                                  <w:color w:val="000000"/>
                                  <w:sz w:val="20"/>
                                  <w:szCs w:val="20"/>
                                </w:rPr>
                                <w:br/>
                              </w:r>
                              <w:hyperlink r:id="rId21" w:tgtFrame="_blank" w:history="1">
                                <w:r>
                                  <w:rPr>
                                    <w:rStyle w:val="Hyperlink"/>
                                    <w:rFonts w:ascii="Verdana" w:hAnsi="Verdana"/>
                                    <w:b/>
                                    <w:bCs/>
                                    <w:sz w:val="18"/>
                                    <w:szCs w:val="18"/>
                                  </w:rPr>
                                  <w:t>Online Registration</w:t>
                                </w:r>
                              </w:hyperlink>
                            </w:p>
                            <w:p w:rsidR="0019649C" w:rsidRDefault="0019649C">
                              <w:pPr>
                                <w:jc w:val="center"/>
                                <w:rPr>
                                  <w:rFonts w:ascii="Verdana" w:eastAsia="Times New Roman" w:hAnsi="Verdana"/>
                                  <w:color w:val="000000"/>
                                  <w:sz w:val="20"/>
                                  <w:szCs w:val="20"/>
                                </w:rPr>
                              </w:pPr>
                              <w:r>
                                <w:rPr>
                                  <w:rFonts w:ascii="Verdana" w:eastAsia="Times New Roman" w:hAnsi="Verdana"/>
                                  <w:color w:val="000000"/>
                                  <w:sz w:val="20"/>
                                  <w:szCs w:val="20"/>
                                </w:rPr>
                                <w:pict>
                                  <v:rect id="_x0000_i1032" style="width:468pt;height:.4pt" o:hralign="center" o:hrstd="t" o:hr="t" fillcolor="#a0a0a0" stroked="f"/>
                                </w:pict>
                              </w:r>
                            </w:p>
                            <w:p w:rsidR="0019649C" w:rsidRDefault="0019649C">
                              <w:pPr>
                                <w:pStyle w:val="NormalWeb"/>
                                <w:rPr>
                                  <w:rFonts w:ascii="Verdana" w:hAnsi="Verdana"/>
                                  <w:color w:val="000000"/>
                                  <w:sz w:val="20"/>
                                  <w:szCs w:val="20"/>
                                </w:rPr>
                              </w:pPr>
                              <w:r>
                                <w:rPr>
                                  <w:rStyle w:val="Strong"/>
                                  <w:rFonts w:ascii="Trebuchet MS" w:hAnsi="Trebuchet MS"/>
                                  <w:color w:val="000000"/>
                                  <w:sz w:val="21"/>
                                  <w:szCs w:val="21"/>
                                </w:rPr>
                                <w:t>I RAISE THE RATES:</w:t>
                              </w:r>
                              <w:r>
                                <w:rPr>
                                  <w:rFonts w:ascii="Verdana" w:eastAsia="Times New Roman" w:hAnsi="Verdana"/>
                                  <w:noProof/>
                                  <w:color w:val="000000"/>
                                  <w:sz w:val="20"/>
                                  <w:szCs w:val="20"/>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390650" cy="1228725"/>
                                    <wp:effectExtent l="0" t="0" r="0" b="9525"/>
                                    <wp:wrapSquare wrapText="bothSides"/>
                                    <wp:docPr id="6" name="Picture 6" descr="https://www.nyacp.org/images/I%20raise%20the%20r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nyacp.org/images/I%20raise%20the%20rate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065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000000"/>
                                  <w:sz w:val="20"/>
                                  <w:szCs w:val="20"/>
                                </w:rPr>
                                <w:br/>
                              </w:r>
                              <w:r>
                                <w:rPr>
                                  <w:rStyle w:val="Emphasis"/>
                                  <w:rFonts w:ascii="Trebuchet MS" w:hAnsi="Trebuchet MS"/>
                                  <w:b/>
                                  <w:bCs/>
                                  <w:color w:val="000000"/>
                                  <w:sz w:val="21"/>
                                  <w:szCs w:val="21"/>
                                </w:rPr>
                                <w:t>Immunization Updates and Changes 2019</w:t>
                              </w:r>
                              <w:r>
                                <w:rPr>
                                  <w:rFonts w:ascii="Verdana" w:hAnsi="Verdana"/>
                                  <w:color w:val="000000"/>
                                  <w:sz w:val="20"/>
                                  <w:szCs w:val="20"/>
                                </w:rPr>
                                <w:br/>
                              </w:r>
                              <w:r>
                                <w:rPr>
                                  <w:rFonts w:ascii="Verdana" w:hAnsi="Verdana"/>
                                  <w:color w:val="000000"/>
                                  <w:sz w:val="20"/>
                                  <w:szCs w:val="20"/>
                                </w:rPr>
                                <w:br/>
                              </w:r>
                              <w:r>
                                <w:rPr>
                                  <w:rStyle w:val="Strong"/>
                                  <w:rFonts w:ascii="Trebuchet MS" w:hAnsi="Trebuchet MS"/>
                                  <w:color w:val="000000"/>
                                </w:rPr>
                                <w:t>Monday, November 25, 2019: 12:00 - 1:30 pm</w:t>
                              </w:r>
                              <w:r>
                                <w:rPr>
                                  <w:rFonts w:ascii="Verdana" w:hAnsi="Verdana"/>
                                  <w:color w:val="000000"/>
                                  <w:sz w:val="20"/>
                                  <w:szCs w:val="20"/>
                                </w:rPr>
                                <w:br/>
                              </w:r>
                              <w:r>
                                <w:rPr>
                                  <w:rStyle w:val="Emphasis"/>
                                  <w:rFonts w:ascii="Trebuchet MS" w:hAnsi="Trebuchet MS"/>
                                  <w:color w:val="000000"/>
                                  <w:sz w:val="18"/>
                                  <w:szCs w:val="18"/>
                                </w:rPr>
                                <w:t>Earn up to 1.5 AMA PRA Category 1 Credit(s) and 1.5 MOC points!</w:t>
                              </w:r>
                            </w:p>
                            <w:p w:rsidR="0019649C" w:rsidRDefault="0019649C">
                              <w:pPr>
                                <w:pStyle w:val="Heading4"/>
                                <w:rPr>
                                  <w:rFonts w:ascii="Verdana" w:eastAsia="Times New Roman" w:hAnsi="Verdana"/>
                                  <w:color w:val="000000"/>
                                </w:rPr>
                              </w:pPr>
                              <w:r>
                                <w:rPr>
                                  <w:rStyle w:val="Strong"/>
                                  <w:rFonts w:ascii="Verdana" w:eastAsia="Times New Roman" w:hAnsi="Verdana"/>
                                  <w:b/>
                                  <w:bCs/>
                                  <w:color w:val="000000"/>
                                </w:rPr>
                                <w:t>LEARNING OBJECTIVES </w:t>
                              </w:r>
                            </w:p>
                            <w:p w:rsidR="0019649C" w:rsidRDefault="0019649C">
                              <w:pPr>
                                <w:pStyle w:val="NormalWeb"/>
                                <w:rPr>
                                  <w:rFonts w:ascii="Verdana" w:hAnsi="Verdana"/>
                                  <w:color w:val="000000"/>
                                  <w:sz w:val="20"/>
                                  <w:szCs w:val="20"/>
                                </w:rPr>
                              </w:pPr>
                              <w:r>
                                <w:rPr>
                                  <w:rFonts w:ascii="Verdana" w:hAnsi="Verdana"/>
                                  <w:color w:val="000000"/>
                                  <w:sz w:val="18"/>
                                  <w:szCs w:val="18"/>
                                </w:rPr>
                                <w:t>At the conclusion of this activity, the participants will:</w:t>
                              </w:r>
                            </w:p>
                            <w:p w:rsidR="0019649C" w:rsidRDefault="0019649C">
                              <w:pPr>
                                <w:numPr>
                                  <w:ilvl w:val="0"/>
                                  <w:numId w:val="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18"/>
                                  <w:szCs w:val="18"/>
                                </w:rPr>
                                <w:t>Articulate changes in immunization recommendations from the Advisory Committee on Immunization Practices (ACIP) made in October 2018, and resulting in changes approved by the federal Centers for Disease Control, effective January 2019;</w:t>
                              </w:r>
                            </w:p>
                            <w:p w:rsidR="0019649C" w:rsidRDefault="0019649C">
                              <w:pPr>
                                <w:numPr>
                                  <w:ilvl w:val="0"/>
                                  <w:numId w:val="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18"/>
                                  <w:szCs w:val="18"/>
                                </w:rPr>
                                <w:t>Apply ACIP guidelines to patient treatment recommendations;</w:t>
                              </w:r>
                            </w:p>
                            <w:p w:rsidR="0019649C" w:rsidRDefault="0019649C">
                              <w:pPr>
                                <w:numPr>
                                  <w:ilvl w:val="0"/>
                                  <w:numId w:val="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18"/>
                                  <w:szCs w:val="18"/>
                                </w:rPr>
                                <w:t>Integrate conversations about immunizations into routine patient encounters;</w:t>
                              </w:r>
                            </w:p>
                            <w:p w:rsidR="0019649C" w:rsidRDefault="0019649C">
                              <w:pPr>
                                <w:numPr>
                                  <w:ilvl w:val="0"/>
                                  <w:numId w:val="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18"/>
                                  <w:szCs w:val="18"/>
                                </w:rPr>
                                <w:t>Counsel and encourage patients and caregivers to obtain appropriate vaccinations;</w:t>
                              </w:r>
                            </w:p>
                            <w:p w:rsidR="0019649C" w:rsidRDefault="0019649C">
                              <w:pPr>
                                <w:numPr>
                                  <w:ilvl w:val="0"/>
                                  <w:numId w:val="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18"/>
                                  <w:szCs w:val="18"/>
                                </w:rPr>
                                <w:t>Increase the number of patients who receive recommended vaccinations;</w:t>
                              </w:r>
                            </w:p>
                            <w:p w:rsidR="0019649C" w:rsidRDefault="0019649C">
                              <w:pPr>
                                <w:numPr>
                                  <w:ilvl w:val="0"/>
                                  <w:numId w:val="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18"/>
                                  <w:szCs w:val="18"/>
                                </w:rPr>
                                <w:t>Engage multidisciplinary staff via education on the importance of increasing patient immunization rates; and</w:t>
                              </w:r>
                            </w:p>
                            <w:p w:rsidR="0019649C" w:rsidRDefault="0019649C">
                              <w:pPr>
                                <w:numPr>
                                  <w:ilvl w:val="0"/>
                                  <w:numId w:val="4"/>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18"/>
                                  <w:szCs w:val="18"/>
                                </w:rPr>
                                <w:t>Effectively guide patients who would not be eligible for particular vaccinations.</w:t>
                              </w:r>
                            </w:p>
                            <w:p w:rsidR="0019649C" w:rsidRDefault="0019649C">
                              <w:pPr>
                                <w:pStyle w:val="NormalWeb"/>
                                <w:rPr>
                                  <w:rFonts w:ascii="Verdana" w:hAnsi="Verdana"/>
                                  <w:color w:val="000000"/>
                                  <w:sz w:val="20"/>
                                  <w:szCs w:val="20"/>
                                </w:rPr>
                              </w:pPr>
                              <w:r>
                                <w:rPr>
                                  <w:rStyle w:val="Strong"/>
                                  <w:rFonts w:ascii="Verdana" w:hAnsi="Verdana"/>
                                  <w:color w:val="000000"/>
                                </w:rPr>
                                <w:lastRenderedPageBreak/>
                                <w:t>Faculty:</w:t>
                              </w:r>
                              <w:r>
                                <w:rPr>
                                  <w:rFonts w:ascii="Verdana" w:hAnsi="Verdana"/>
                                  <w:color w:val="000000"/>
                                  <w:sz w:val="18"/>
                                  <w:szCs w:val="18"/>
                                </w:rPr>
                                <w:t> </w:t>
                              </w:r>
                              <w:r>
                                <w:rPr>
                                  <w:rFonts w:ascii="Verdana" w:hAnsi="Verdana"/>
                                  <w:color w:val="000000"/>
                                  <w:sz w:val="18"/>
                                  <w:szCs w:val="18"/>
                                </w:rPr>
                                <w:br/>
                                <w:t>Ankita Sagar, MD, MPH, FACP, Attending Physician, Internal Medicine, Assistant Professor, Hofstra-Northwell School of Medicine</w:t>
                              </w:r>
                            </w:p>
                            <w:p w:rsidR="0019649C" w:rsidRDefault="0019649C">
                              <w:pPr>
                                <w:pStyle w:val="NormalWeb"/>
                                <w:rPr>
                                  <w:rFonts w:ascii="Verdana" w:hAnsi="Verdana"/>
                                  <w:color w:val="000000"/>
                                  <w:sz w:val="20"/>
                                  <w:szCs w:val="20"/>
                                </w:rPr>
                              </w:pPr>
                              <w:hyperlink r:id="rId23" w:tgtFrame="_blank" w:history="1">
                                <w:r>
                                  <w:rPr>
                                    <w:rStyle w:val="Hyperlink"/>
                                    <w:rFonts w:ascii="Verdana" w:hAnsi="Verdana"/>
                                    <w:b/>
                                    <w:bCs/>
                                    <w:sz w:val="18"/>
                                    <w:szCs w:val="18"/>
                                  </w:rPr>
                                  <w:t>NYACP Members Online Registration</w:t>
                                </w:r>
                              </w:hyperlink>
                            </w:p>
                            <w:p w:rsidR="0019649C" w:rsidRDefault="0019649C">
                              <w:pPr>
                                <w:pStyle w:val="NormalWeb"/>
                                <w:rPr>
                                  <w:rFonts w:ascii="Verdana" w:hAnsi="Verdana"/>
                                  <w:color w:val="000000"/>
                                  <w:sz w:val="20"/>
                                  <w:szCs w:val="20"/>
                                </w:rPr>
                              </w:pPr>
                              <w:hyperlink r:id="rId24" w:tgtFrame="_blank" w:history="1">
                                <w:r>
                                  <w:rPr>
                                    <w:rStyle w:val="Hyperlink"/>
                                    <w:rFonts w:ascii="Verdana" w:hAnsi="Verdana"/>
                                    <w:b/>
                                    <w:bCs/>
                                    <w:sz w:val="18"/>
                                    <w:szCs w:val="18"/>
                                  </w:rPr>
                                  <w:t>Non-Members Register Here</w:t>
                                </w:r>
                              </w:hyperlink>
                              <w:r>
                                <w:rPr>
                                  <w:rFonts w:ascii="Verdana" w:hAnsi="Verdana"/>
                                  <w:color w:val="000000"/>
                                  <w:sz w:val="20"/>
                                  <w:szCs w:val="20"/>
                                </w:rPr>
                                <w:br/>
                              </w:r>
                              <w:r>
                                <w:rPr>
                                  <w:rFonts w:ascii="Verdana" w:hAnsi="Verdana"/>
                                  <w:color w:val="000000"/>
                                  <w:sz w:val="20"/>
                                  <w:szCs w:val="20"/>
                                </w:rPr>
                                <w:br/>
                              </w:r>
                              <w:r>
                                <w:rPr>
                                  <w:rStyle w:val="Strong"/>
                                  <w:rFonts w:ascii="Verdana" w:hAnsi="Verdana"/>
                                  <w:color w:val="000000"/>
                                  <w:sz w:val="15"/>
                                  <w:szCs w:val="15"/>
                                  <w:u w:val="single"/>
                                </w:rPr>
                                <w:t>CME Accreditation</w:t>
                              </w:r>
                              <w:r>
                                <w:rPr>
                                  <w:rFonts w:ascii="Verdana" w:hAnsi="Verdana"/>
                                  <w:color w:val="000000"/>
                                  <w:sz w:val="15"/>
                                  <w:szCs w:val="15"/>
                                </w:rPr>
                                <w:br/>
                                <w:t>The American College of Physicians is accredited by the Accreditation Council for Continuing Medical Education (ACCME) to provide continuing medical education for physicians.</w:t>
                              </w:r>
                              <w:r>
                                <w:rPr>
                                  <w:rFonts w:ascii="Verdana" w:hAnsi="Verdana"/>
                                  <w:color w:val="000000"/>
                                  <w:sz w:val="15"/>
                                  <w:szCs w:val="15"/>
                                </w:rPr>
                                <w:br/>
                                <w:t>The American College of Physicians designates this live activity for a maximum of 1.5 AMA PRA Category 1 Credit(s)</w:t>
                              </w:r>
                              <w:r>
                                <w:rPr>
                                  <w:rFonts w:ascii="Verdana" w:hAnsi="Verdana"/>
                                  <w:color w:val="000000"/>
                                  <w:sz w:val="15"/>
                                  <w:szCs w:val="15"/>
                                  <w:vertAlign w:val="superscript"/>
                                </w:rPr>
                                <w:t>TM</w:t>
                              </w:r>
                              <w:r>
                                <w:rPr>
                                  <w:rFonts w:ascii="Verdana" w:hAnsi="Verdana"/>
                                  <w:color w:val="000000"/>
                                  <w:sz w:val="15"/>
                                  <w:szCs w:val="15"/>
                                </w:rPr>
                                <w:t> and 1.5 Maintenance of Certification (MOC) credit(s). Physicians should claim only the credit commensurate with the extent of their participation in the activity.</w:t>
                              </w:r>
                            </w:p>
                            <w:p w:rsidR="0019649C" w:rsidRDefault="0019649C">
                              <w:pPr>
                                <w:jc w:val="center"/>
                                <w:rPr>
                                  <w:rFonts w:ascii="Verdana" w:eastAsia="Times New Roman" w:hAnsi="Verdana"/>
                                  <w:color w:val="000000"/>
                                  <w:sz w:val="20"/>
                                  <w:szCs w:val="20"/>
                                </w:rPr>
                              </w:pPr>
                              <w:r>
                                <w:rPr>
                                  <w:rFonts w:ascii="Verdana" w:eastAsia="Times New Roman" w:hAnsi="Verdana"/>
                                  <w:color w:val="000000"/>
                                  <w:sz w:val="20"/>
                                  <w:szCs w:val="20"/>
                                </w:rPr>
                                <w:pict>
                                  <v:rect id="_x0000_i1033" style="width:468pt;height:.75pt" o:hralign="center" o:hrstd="t" o:hr="t" fillcolor="#a0a0a0" stroked="f"/>
                                </w:pict>
                              </w:r>
                            </w:p>
                            <w:p w:rsidR="0019649C" w:rsidRDefault="0019649C">
                              <w:pPr>
                                <w:pStyle w:val="NormalWeb"/>
                                <w:rPr>
                                  <w:rFonts w:ascii="Verdana" w:hAnsi="Verdana"/>
                                  <w:color w:val="000000"/>
                                  <w:sz w:val="20"/>
                                  <w:szCs w:val="20"/>
                                </w:rPr>
                              </w:pPr>
                              <w:r>
                                <w:rPr>
                                  <w:rStyle w:val="Strong"/>
                                  <w:rFonts w:ascii="Trebuchet MS" w:hAnsi="Trebuchet MS"/>
                                  <w:color w:val="000000"/>
                                  <w:sz w:val="21"/>
                                  <w:szCs w:val="21"/>
                                </w:rPr>
                                <w:t>Vaping-Clinical Manifestations, Risk/Benefit Equations and Policy Implications</w:t>
                              </w:r>
                            </w:p>
                            <w:p w:rsidR="0019649C" w:rsidRDefault="0019649C">
                              <w:pPr>
                                <w:pStyle w:val="NormalWeb"/>
                                <w:rPr>
                                  <w:rFonts w:ascii="Verdana" w:hAnsi="Verdana"/>
                                  <w:color w:val="000000"/>
                                  <w:sz w:val="20"/>
                                  <w:szCs w:val="20"/>
                                </w:rPr>
                              </w:pPr>
                              <w:r>
                                <w:rPr>
                                  <w:rStyle w:val="Strong"/>
                                  <w:rFonts w:ascii="Verdana" w:hAnsi="Verdana"/>
                                  <w:color w:val="000000"/>
                                </w:rPr>
                                <w:t>Wednesday, December 11, 2019: 12:00 - 1:30 pm</w:t>
                              </w:r>
                              <w:r>
                                <w:rPr>
                                  <w:rFonts w:ascii="Verdana" w:hAnsi="Verdana"/>
                                  <w:color w:val="000000"/>
                                  <w:sz w:val="20"/>
                                  <w:szCs w:val="20"/>
                                </w:rPr>
                                <w:br/>
                              </w:r>
                              <w:r>
                                <w:rPr>
                                  <w:rStyle w:val="Emphasis"/>
                                  <w:rFonts w:ascii="Verdana" w:hAnsi="Verdana"/>
                                  <w:color w:val="000000"/>
                                  <w:sz w:val="18"/>
                                  <w:szCs w:val="18"/>
                                </w:rPr>
                                <w:t>Earn up to 1.5 AMA PRA Category 1 Credit(s)</w:t>
                              </w:r>
                            </w:p>
                            <w:p w:rsidR="0019649C" w:rsidRDefault="0019649C">
                              <w:pPr>
                                <w:pStyle w:val="NormalWeb"/>
                                <w:rPr>
                                  <w:rFonts w:ascii="Verdana" w:hAnsi="Verdana"/>
                                  <w:color w:val="000000"/>
                                  <w:sz w:val="20"/>
                                  <w:szCs w:val="20"/>
                                </w:rPr>
                              </w:pPr>
                              <w:r>
                                <w:rPr>
                                  <w:rStyle w:val="Strong"/>
                                  <w:rFonts w:ascii="Verdana" w:hAnsi="Verdana"/>
                                  <w:color w:val="000000"/>
                                </w:rPr>
                                <w:t>Learning Objectives:</w:t>
                              </w:r>
                            </w:p>
                            <w:p w:rsidR="0019649C" w:rsidRDefault="0019649C">
                              <w:pPr>
                                <w:pStyle w:val="NormalWeb"/>
                                <w:rPr>
                                  <w:rFonts w:ascii="Verdana" w:hAnsi="Verdana"/>
                                  <w:color w:val="000000"/>
                                  <w:sz w:val="20"/>
                                  <w:szCs w:val="20"/>
                                </w:rPr>
                              </w:pPr>
                              <w:r>
                                <w:rPr>
                                  <w:rFonts w:ascii="Verdana" w:hAnsi="Verdana"/>
                                  <w:color w:val="000000"/>
                                  <w:sz w:val="18"/>
                                  <w:szCs w:val="18"/>
                                </w:rPr>
                                <w:t>Upon completion of this session, participants should be able to:</w:t>
                              </w:r>
                            </w:p>
                            <w:p w:rsidR="0019649C" w:rsidRDefault="0019649C">
                              <w:pPr>
                                <w:numPr>
                                  <w:ilvl w:val="0"/>
                                  <w:numId w:val="5"/>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18"/>
                                  <w:szCs w:val="18"/>
                                </w:rPr>
                                <w:t>Recognize background and terminology of vaping </w:t>
                              </w:r>
                            </w:p>
                            <w:p w:rsidR="0019649C" w:rsidRDefault="0019649C">
                              <w:pPr>
                                <w:numPr>
                                  <w:ilvl w:val="0"/>
                                  <w:numId w:val="5"/>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18"/>
                                  <w:szCs w:val="18"/>
                                </w:rPr>
                                <w:t>Recognize the clinical and radiographic manifestations of E-cigarette, or vaping, product use associated lung injury (EVALI) </w:t>
                              </w:r>
                            </w:p>
                            <w:p w:rsidR="0019649C" w:rsidRDefault="0019649C">
                              <w:pPr>
                                <w:numPr>
                                  <w:ilvl w:val="0"/>
                                  <w:numId w:val="5"/>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18"/>
                                  <w:szCs w:val="18"/>
                                </w:rPr>
                                <w:t>Interpret and Apply the CDC guidelines and recommendations</w:t>
                              </w:r>
                            </w:p>
                            <w:p w:rsidR="0019649C" w:rsidRDefault="0019649C">
                              <w:pPr>
                                <w:numPr>
                                  <w:ilvl w:val="0"/>
                                  <w:numId w:val="5"/>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18"/>
                                  <w:szCs w:val="18"/>
                                </w:rPr>
                                <w:t>Assess the risks/benefits of using E-cigarettes for smoking cessation </w:t>
                              </w:r>
                            </w:p>
                            <w:p w:rsidR="0019649C" w:rsidRDefault="0019649C">
                              <w:pPr>
                                <w:numPr>
                                  <w:ilvl w:val="0"/>
                                  <w:numId w:val="5"/>
                                </w:numPr>
                                <w:spacing w:before="100" w:beforeAutospacing="1" w:after="100" w:afterAutospacing="1"/>
                                <w:rPr>
                                  <w:rFonts w:ascii="Verdana" w:eastAsia="Times New Roman" w:hAnsi="Verdana"/>
                                  <w:color w:val="000000"/>
                                  <w:sz w:val="20"/>
                                  <w:szCs w:val="20"/>
                                </w:rPr>
                              </w:pPr>
                              <w:r>
                                <w:rPr>
                                  <w:rFonts w:ascii="Verdana" w:eastAsia="Times New Roman" w:hAnsi="Verdana"/>
                                  <w:color w:val="000000"/>
                                  <w:sz w:val="18"/>
                                  <w:szCs w:val="18"/>
                                </w:rPr>
                                <w:t>Identify current and next steps in physician advocacy on vaping and regulation </w:t>
                              </w:r>
                            </w:p>
                            <w:p w:rsidR="0019649C" w:rsidRDefault="0019649C">
                              <w:pPr>
                                <w:pStyle w:val="NormalWeb"/>
                                <w:rPr>
                                  <w:rFonts w:ascii="Verdana" w:hAnsi="Verdana"/>
                                  <w:color w:val="000000"/>
                                  <w:sz w:val="20"/>
                                  <w:szCs w:val="20"/>
                                </w:rPr>
                              </w:pPr>
                              <w:r>
                                <w:rPr>
                                  <w:rStyle w:val="Strong"/>
                                  <w:rFonts w:ascii="Verdana" w:hAnsi="Verdana"/>
                                  <w:color w:val="000000"/>
                                </w:rPr>
                                <w:t>Faculty: </w:t>
                              </w:r>
                              <w:r>
                                <w:rPr>
                                  <w:rFonts w:ascii="Verdana" w:hAnsi="Verdana"/>
                                  <w:color w:val="000000"/>
                                  <w:sz w:val="20"/>
                                  <w:szCs w:val="20"/>
                                </w:rPr>
                                <w:br/>
                              </w:r>
                              <w:r>
                                <w:rPr>
                                  <w:rFonts w:ascii="Verdana" w:hAnsi="Verdana"/>
                                  <w:color w:val="000000"/>
                                  <w:sz w:val="18"/>
                                  <w:szCs w:val="18"/>
                                </w:rPr>
                                <w:t>Sameer Khanijo, MD, FACP, FCCP -  Pulmonologist, NSUH-Division of Pulmonary, Critical Care, and Sleep Medicine</w:t>
                              </w:r>
                              <w:r>
                                <w:rPr>
                                  <w:rFonts w:ascii="Verdana" w:hAnsi="Verdana"/>
                                  <w:color w:val="000000"/>
                                  <w:sz w:val="18"/>
                                  <w:szCs w:val="18"/>
                                </w:rPr>
                                <w:br/>
                                <w:t>Ankita Sagar, MD, MPH, FACP</w:t>
                              </w:r>
                              <w:r>
                                <w:rPr>
                                  <w:rStyle w:val="Strong"/>
                                  <w:rFonts w:ascii="Verdana" w:hAnsi="Verdana"/>
                                  <w:color w:val="000000"/>
                                </w:rPr>
                                <w:t>- </w:t>
                              </w:r>
                              <w:r>
                                <w:rPr>
                                  <w:rFonts w:ascii="Verdana" w:hAnsi="Verdana"/>
                                  <w:color w:val="000000"/>
                                  <w:sz w:val="18"/>
                                  <w:szCs w:val="18"/>
                                </w:rPr>
                                <w:t>Attending Physician, Internal Medicine, Assistant Professor, Hofstra-Northwell School of Medicine</w:t>
                              </w:r>
                            </w:p>
                            <w:p w:rsidR="0019649C" w:rsidRDefault="0019649C">
                              <w:pPr>
                                <w:pStyle w:val="NormalWeb"/>
                                <w:rPr>
                                  <w:rFonts w:ascii="Verdana" w:hAnsi="Verdana"/>
                                  <w:color w:val="000000"/>
                                  <w:sz w:val="20"/>
                                  <w:szCs w:val="20"/>
                                </w:rPr>
                              </w:pPr>
                              <w:hyperlink r:id="rId25" w:tgtFrame="_blank" w:history="1">
                                <w:r>
                                  <w:rPr>
                                    <w:rStyle w:val="Hyperlink"/>
                                    <w:rFonts w:ascii="Verdana" w:hAnsi="Verdana"/>
                                    <w:b/>
                                    <w:bCs/>
                                    <w:sz w:val="18"/>
                                    <w:szCs w:val="18"/>
                                  </w:rPr>
                                  <w:t>Register Online</w:t>
                                </w:r>
                              </w:hyperlink>
                            </w:p>
                            <w:p w:rsidR="0019649C" w:rsidRDefault="0019649C">
                              <w:pPr>
                                <w:pStyle w:val="NormalWeb"/>
                                <w:rPr>
                                  <w:rFonts w:ascii="Verdana" w:hAnsi="Verdana"/>
                                  <w:color w:val="000000"/>
                                  <w:sz w:val="20"/>
                                  <w:szCs w:val="20"/>
                                </w:rPr>
                              </w:pPr>
                              <w:r>
                                <w:rPr>
                                  <w:rStyle w:val="Strong"/>
                                  <w:rFonts w:ascii="Verdana" w:hAnsi="Verdana"/>
                                  <w:color w:val="000000"/>
                                  <w:sz w:val="15"/>
                                  <w:szCs w:val="15"/>
                                  <w:u w:val="single"/>
                                </w:rPr>
                                <w:t>CME Accreditation:</w:t>
                              </w:r>
                              <w:r>
                                <w:rPr>
                                  <w:rFonts w:ascii="Verdana" w:hAnsi="Verdana"/>
                                  <w:color w:val="000000"/>
                                  <w:sz w:val="15"/>
                                  <w:szCs w:val="15"/>
                                </w:rPr>
                                <w:br/>
                                <w:t>Northwell Health is accredited by the Accreditation Council for Continuing Medical Education to provide continuing medical education for physicians.</w:t>
                              </w:r>
                              <w:r>
                                <w:rPr>
                                  <w:rFonts w:ascii="Verdana" w:hAnsi="Verdana"/>
                                  <w:color w:val="000000"/>
                                  <w:sz w:val="15"/>
                                  <w:szCs w:val="15"/>
                                </w:rPr>
                                <w:br/>
                              </w:r>
                              <w:r>
                                <w:rPr>
                                  <w:rFonts w:ascii="Verdana" w:hAnsi="Verdana"/>
                                  <w:color w:val="000000"/>
                                  <w:sz w:val="15"/>
                                  <w:szCs w:val="15"/>
                                </w:rPr>
                                <w:br/>
                                <w:t>Credit Designation:</w:t>
                              </w:r>
                              <w:r>
                                <w:rPr>
                                  <w:rFonts w:ascii="Verdana" w:hAnsi="Verdana"/>
                                  <w:color w:val="000000"/>
                                  <w:sz w:val="15"/>
                                  <w:szCs w:val="15"/>
                                </w:rPr>
                                <w:br/>
                                <w:t xml:space="preserve">Northwell Health designates this live activity for a maximum of 1.5 AMA PRA Category 1 </w:t>
                              </w:r>
                              <w:r>
                                <w:rPr>
                                  <w:rStyle w:val="Emphasis"/>
                                  <w:rFonts w:ascii="Verdana" w:hAnsi="Verdana"/>
                                  <w:color w:val="000000"/>
                                  <w:sz w:val="15"/>
                                  <w:szCs w:val="15"/>
                                </w:rPr>
                                <w:t>credit ™</w:t>
                              </w:r>
                              <w:r>
                                <w:rPr>
                                  <w:rFonts w:ascii="Verdana" w:hAnsi="Verdana"/>
                                  <w:color w:val="000000"/>
                                  <w:sz w:val="15"/>
                                  <w:szCs w:val="15"/>
                                </w:rPr>
                                <w:t>.  Physicians should only claim credit commensurate with the extent of their participation in the activity</w:t>
                              </w:r>
                              <w:r>
                                <w:rPr>
                                  <w:rFonts w:ascii="Verdana" w:hAnsi="Verdana"/>
                                  <w:color w:val="000000"/>
                                  <w:sz w:val="20"/>
                                  <w:szCs w:val="20"/>
                                </w:rPr>
                                <w:t>.</w:t>
                              </w:r>
                              <w:r>
                                <w:rPr>
                                  <w:rFonts w:ascii="Verdana" w:hAnsi="Verdana"/>
                                  <w:color w:val="000000"/>
                                  <w:sz w:val="20"/>
                                  <w:szCs w:val="20"/>
                                </w:rPr>
                                <w:br/>
                              </w:r>
                              <w:r>
                                <w:rPr>
                                  <w:rFonts w:ascii="Verdana" w:hAnsi="Verdana"/>
                                  <w:color w:val="000000"/>
                                  <w:sz w:val="20"/>
                                  <w:szCs w:val="20"/>
                                </w:rPr>
                                <w:br/>
                              </w:r>
                              <w:r>
                                <w:rPr>
                                  <w:rFonts w:ascii="Verdana" w:hAnsi="Verdana"/>
                                  <w:color w:val="000000"/>
                                  <w:sz w:val="15"/>
                                  <w:szCs w:val="15"/>
                                </w:rPr>
                                <w:t>Disclosure Policy:</w:t>
                              </w:r>
                              <w:r>
                                <w:rPr>
                                  <w:rFonts w:ascii="Verdana" w:hAnsi="Verdana"/>
                                  <w:color w:val="000000"/>
                                  <w:sz w:val="15"/>
                                  <w:szCs w:val="15"/>
                                </w:rPr>
                                <w:br/>
                                <w:t>Northwell Health adheres to the ACCME's Standards for Commercial Support. Any individuals in a position to control the content of a CME activity, including faculty, planners, reviewers or others are required to disclose all relevant financial relationships with commercial interests. All relevant conflicts of interest will be resolved prior to the commencement of the activity.</w:t>
                              </w:r>
                            </w:p>
                            <w:p w:rsidR="0019649C" w:rsidRDefault="0019649C">
                              <w:pPr>
                                <w:pStyle w:val="Heading6"/>
                                <w:rPr>
                                  <w:rFonts w:ascii="Verdana" w:eastAsia="Times New Roman" w:hAnsi="Verdana"/>
                                  <w:color w:val="000000"/>
                                </w:rPr>
                              </w:pPr>
                              <w:r>
                                <w:rPr>
                                  <w:rFonts w:ascii="Verdana" w:eastAsia="Times New Roman" w:hAnsi="Verdana"/>
                                  <w:color w:val="000000"/>
                                </w:rPr>
                                <w:lastRenderedPageBreak/>
                                <w:t> </w:t>
                              </w:r>
                            </w:p>
                            <w:p w:rsidR="0019649C" w:rsidRDefault="0019649C" w:rsidP="0019649C">
                              <w:pPr>
                                <w:jc w:val="center"/>
                                <w:rPr>
                                  <w:rFonts w:ascii="Verdana" w:eastAsia="Times New Roman" w:hAnsi="Verdana"/>
                                  <w:color w:val="000000"/>
                                  <w:sz w:val="20"/>
                                  <w:szCs w:val="20"/>
                                </w:rPr>
                              </w:pPr>
                              <w:r>
                                <w:rPr>
                                  <w:rFonts w:ascii="Verdana" w:eastAsia="Times New Roman" w:hAnsi="Verdana"/>
                                  <w:color w:val="000000"/>
                                  <w:sz w:val="20"/>
                                  <w:szCs w:val="20"/>
                                </w:rPr>
                                <w:pict>
                                  <v:rect id="_x0000_i1034" style="width:468pt;height:.75pt" o:hralign="center" o:hrstd="t" o:hr="t" fillcolor="#a0a0a0" stroked="f"/>
                                </w:pict>
                              </w:r>
                            </w:p>
                          </w:tc>
                        </w:tr>
                      </w:tbl>
                      <w:p w:rsidR="0019649C" w:rsidRDefault="0019649C">
                        <w:pPr>
                          <w:rPr>
                            <w:rFonts w:ascii="Times New Roman" w:eastAsia="Times New Roman" w:hAnsi="Times New Roman" w:cs="Times New Roman"/>
                            <w:sz w:val="20"/>
                            <w:szCs w:val="20"/>
                          </w:rPr>
                        </w:pPr>
                      </w:p>
                    </w:tc>
                  </w:tr>
                </w:tbl>
                <w:p w:rsidR="0019649C" w:rsidRDefault="0019649C">
                  <w:pPr>
                    <w:rPr>
                      <w:rFonts w:ascii="Times New Roman" w:eastAsia="Times New Roman" w:hAnsi="Times New Roman" w:cs="Times New Roman"/>
                      <w:sz w:val="20"/>
                      <w:szCs w:val="20"/>
                    </w:rPr>
                  </w:pPr>
                </w:p>
              </w:tc>
            </w:tr>
          </w:tbl>
          <w:p w:rsidR="0019649C" w:rsidRDefault="0019649C">
            <w:pPr>
              <w:jc w:val="center"/>
              <w:rPr>
                <w:rFonts w:ascii="Times New Roman" w:eastAsia="Times New Roman" w:hAnsi="Times New Roman" w:cs="Times New Roman"/>
                <w:sz w:val="20"/>
                <w:szCs w:val="20"/>
              </w:rPr>
            </w:pPr>
          </w:p>
        </w:tc>
      </w:tr>
      <w:tr w:rsidR="0019649C" w:rsidTr="0019649C">
        <w:trPr>
          <w:tblCellSpacing w:w="0" w:type="dxa"/>
          <w:jc w:val="center"/>
        </w:trPr>
        <w:tc>
          <w:tcPr>
            <w:tcW w:w="0" w:type="auto"/>
            <w:tcBorders>
              <w:top w:val="nil"/>
              <w:left w:val="nil"/>
              <w:bottom w:val="nil"/>
              <w:right w:val="nil"/>
            </w:tcBorders>
            <w:hideMark/>
          </w:tcPr>
          <w:tbl>
            <w:tblPr>
              <w:tblW w:w="5000" w:type="pct"/>
              <w:jc w:val="center"/>
              <w:tblCellSpacing w:w="0" w:type="dxa"/>
              <w:tblCellMar>
                <w:top w:w="38" w:type="dxa"/>
                <w:left w:w="38" w:type="dxa"/>
                <w:bottom w:w="38" w:type="dxa"/>
                <w:right w:w="38" w:type="dxa"/>
              </w:tblCellMar>
              <w:tblLook w:val="04A0" w:firstRow="1" w:lastRow="0" w:firstColumn="1" w:lastColumn="0" w:noHBand="0" w:noVBand="1"/>
            </w:tblPr>
            <w:tblGrid>
              <w:gridCol w:w="9000"/>
            </w:tblGrid>
            <w:tr w:rsidR="0019649C">
              <w:trPr>
                <w:tblCellSpacing w:w="0" w:type="dxa"/>
                <w:jc w:val="center"/>
              </w:trPr>
              <w:tc>
                <w:tcPr>
                  <w:tcW w:w="0" w:type="auto"/>
                  <w:vAlign w:val="center"/>
                  <w:hideMark/>
                </w:tcPr>
                <w:p w:rsidR="0019649C" w:rsidRDefault="0019649C">
                  <w:pPr>
                    <w:rPr>
                      <w:rFonts w:ascii="Verdana" w:eastAsia="Times New Roman" w:hAnsi="Verdana"/>
                      <w:color w:val="666666"/>
                      <w:sz w:val="20"/>
                      <w:szCs w:val="20"/>
                    </w:rPr>
                  </w:pPr>
                  <w:r>
                    <w:rPr>
                      <w:rFonts w:ascii="Verdana" w:eastAsia="Times New Roman" w:hAnsi="Verdana"/>
                      <w:color w:val="666666"/>
                      <w:sz w:val="20"/>
                      <w:szCs w:val="20"/>
                    </w:rPr>
                    <w:lastRenderedPageBreak/>
                    <w:t xml:space="preserve">  </w:t>
                  </w:r>
                </w:p>
                <w:p w:rsidR="0019649C" w:rsidRDefault="0019649C">
                  <w:pPr>
                    <w:rPr>
                      <w:rFonts w:ascii="Verdana" w:eastAsia="Times New Roman" w:hAnsi="Verdana"/>
                      <w:color w:val="666666"/>
                      <w:sz w:val="20"/>
                      <w:szCs w:val="20"/>
                    </w:rPr>
                  </w:pPr>
                  <w:r>
                    <w:rPr>
                      <w:rFonts w:ascii="Verdana" w:eastAsia="Times New Roman" w:hAnsi="Verdana"/>
                      <w:color w:val="666666"/>
                      <w:sz w:val="20"/>
                      <w:szCs w:val="20"/>
                    </w:rPr>
                    <w:t>To ensure deliverability of our emails, please add </w:t>
                  </w:r>
                  <w:hyperlink r:id="rId26" w:history="1">
                    <w:r>
                      <w:rPr>
                        <w:rStyle w:val="Hyperlink"/>
                        <w:rFonts w:ascii="Verdana" w:eastAsia="Times New Roman" w:hAnsi="Verdana"/>
                        <w:sz w:val="20"/>
                        <w:szCs w:val="20"/>
                      </w:rPr>
                      <w:t>info@nyacp.org</w:t>
                    </w:r>
                  </w:hyperlink>
                  <w:r>
                    <w:rPr>
                      <w:rFonts w:ascii="Verdana" w:eastAsia="Times New Roman" w:hAnsi="Verdana"/>
                      <w:color w:val="666666"/>
                      <w:sz w:val="20"/>
                      <w:szCs w:val="20"/>
                    </w:rPr>
                    <w:t> to your contacts or accepted senders list in your email client.</w:t>
                  </w:r>
                </w:p>
                <w:p w:rsidR="0019649C" w:rsidRDefault="0019649C">
                  <w:pPr>
                    <w:jc w:val="center"/>
                    <w:rPr>
                      <w:rFonts w:ascii="Verdana" w:eastAsia="Times New Roman" w:hAnsi="Verdana"/>
                      <w:color w:val="666666"/>
                      <w:sz w:val="20"/>
                      <w:szCs w:val="20"/>
                    </w:rPr>
                  </w:pPr>
                  <w:r>
                    <w:rPr>
                      <w:rFonts w:ascii="Verdana" w:eastAsia="Times New Roman" w:hAnsi="Verdana"/>
                      <w:color w:val="666666"/>
                      <w:sz w:val="20"/>
                      <w:szCs w:val="20"/>
                    </w:rPr>
                    <w:br/>
                  </w:r>
                  <w:r>
                    <w:rPr>
                      <w:rStyle w:val="Strong"/>
                      <w:rFonts w:ascii="Verdana" w:eastAsia="Times New Roman" w:hAnsi="Verdana"/>
                      <w:color w:val="666666"/>
                      <w:sz w:val="20"/>
                      <w:szCs w:val="20"/>
                    </w:rPr>
                    <w:t>Follow us:</w:t>
                  </w:r>
                  <w:r>
                    <w:rPr>
                      <w:rFonts w:ascii="Verdana" w:eastAsia="Times New Roman" w:hAnsi="Verdana"/>
                      <w:color w:val="666666"/>
                      <w:sz w:val="20"/>
                      <w:szCs w:val="20"/>
                    </w:rPr>
                    <w:br/>
                  </w:r>
                  <w:r>
                    <w:rPr>
                      <w:rFonts w:ascii="Verdana" w:eastAsia="Times New Roman" w:hAnsi="Verdana"/>
                      <w:noProof/>
                      <w:color w:val="0000FF"/>
                      <w:sz w:val="20"/>
                      <w:szCs w:val="20"/>
                    </w:rPr>
                    <w:drawing>
                      <wp:inline distT="0" distB="0" distL="0" distR="0">
                        <wp:extent cx="238125" cy="238125"/>
                        <wp:effectExtent l="0" t="0" r="9525" b="9525"/>
                        <wp:docPr id="4" name="Picture 4" descr="https://d3dkdvqff0zqx.cloudfront.net/groups/nyacp/images/facebook_flat.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3dkdvqff0zqx.cloudfront.net/groups/nyacp/images/facebook_flat.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Verdana" w:eastAsia="Times New Roman" w:hAnsi="Verdana"/>
                      <w:noProof/>
                      <w:color w:val="0000FF"/>
                      <w:sz w:val="20"/>
                      <w:szCs w:val="20"/>
                    </w:rPr>
                    <w:drawing>
                      <wp:inline distT="0" distB="0" distL="0" distR="0">
                        <wp:extent cx="238125" cy="238125"/>
                        <wp:effectExtent l="0" t="0" r="9525" b="9525"/>
                        <wp:docPr id="3" name="Picture 3" descr="https://d3dkdvqff0zqx.cloudfront.net/groups/nyacp/images/twitter-logo-flat.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3dkdvqff0zqx.cloudfront.net/groups/nyacp/images/twitter-logo-flat.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19649C" w:rsidRDefault="0019649C">
                  <w:pPr>
                    <w:jc w:val="center"/>
                    <w:rPr>
                      <w:rFonts w:ascii="Verdana" w:eastAsia="Times New Roman" w:hAnsi="Verdana"/>
                      <w:color w:val="666666"/>
                      <w:sz w:val="20"/>
                      <w:szCs w:val="20"/>
                    </w:rPr>
                  </w:pPr>
                  <w:r>
                    <w:rPr>
                      <w:rFonts w:ascii="Verdana" w:eastAsia="Times New Roman" w:hAnsi="Verdana"/>
                      <w:color w:val="666666"/>
                      <w:sz w:val="20"/>
                      <w:szCs w:val="20"/>
                    </w:rPr>
                    <w:br/>
                    <w:t>New York Chapter of the American College of Physicians</w:t>
                  </w:r>
                  <w:r>
                    <w:rPr>
                      <w:rFonts w:ascii="Verdana" w:eastAsia="Times New Roman" w:hAnsi="Verdana"/>
                      <w:color w:val="666666"/>
                      <w:sz w:val="20"/>
                      <w:szCs w:val="20"/>
                    </w:rPr>
                    <w:br/>
                    <w:t>744 Broadway, Albany NY 12207</w:t>
                  </w:r>
                  <w:r>
                    <w:rPr>
                      <w:rFonts w:ascii="Verdana" w:eastAsia="Times New Roman" w:hAnsi="Verdana"/>
                      <w:color w:val="666666"/>
                      <w:sz w:val="20"/>
                      <w:szCs w:val="20"/>
                    </w:rPr>
                    <w:br/>
                    <w:t>Tel: 518-427-0366</w:t>
                  </w:r>
                  <w:r>
                    <w:rPr>
                      <w:rFonts w:ascii="Verdana" w:eastAsia="Times New Roman" w:hAnsi="Verdana"/>
                      <w:color w:val="666666"/>
                      <w:sz w:val="20"/>
                      <w:szCs w:val="20"/>
                    </w:rPr>
                    <w:br/>
                    <w:t>Fax: 518-427-1991</w:t>
                  </w:r>
                </w:p>
                <w:p w:rsidR="0019649C" w:rsidRDefault="0019649C">
                  <w:pPr>
                    <w:rPr>
                      <w:rFonts w:ascii="Verdana" w:eastAsia="Times New Roman" w:hAnsi="Verdana"/>
                      <w:color w:val="666666"/>
                      <w:sz w:val="20"/>
                      <w:szCs w:val="20"/>
                    </w:rPr>
                  </w:pPr>
                  <w:r>
                    <w:rPr>
                      <w:rFonts w:ascii="Verdana" w:eastAsia="Times New Roman" w:hAnsi="Verdana"/>
                      <w:color w:val="666666"/>
                      <w:sz w:val="20"/>
                      <w:szCs w:val="20"/>
                    </w:rPr>
                    <w:br/>
                  </w:r>
                  <w:r>
                    <w:rPr>
                      <w:rFonts w:ascii="Verdana" w:eastAsia="Times New Roman" w:hAnsi="Verdana"/>
                      <w:color w:val="666666"/>
                      <w:sz w:val="20"/>
                      <w:szCs w:val="20"/>
                    </w:rPr>
                    <w:br/>
                    <w:t xml:space="preserve">Click </w:t>
                  </w:r>
                  <w:hyperlink r:id="rId31" w:history="1">
                    <w:r>
                      <w:rPr>
                        <w:rStyle w:val="Hyperlink"/>
                        <w:rFonts w:ascii="Verdana" w:eastAsia="Times New Roman" w:hAnsi="Verdana"/>
                        <w:sz w:val="20"/>
                        <w:szCs w:val="20"/>
                      </w:rPr>
                      <w:t>here</w:t>
                    </w:r>
                  </w:hyperlink>
                  <w:r>
                    <w:rPr>
                      <w:rFonts w:ascii="Verdana" w:eastAsia="Times New Roman" w:hAnsi="Verdana"/>
                      <w:color w:val="666666"/>
                      <w:sz w:val="20"/>
                      <w:szCs w:val="20"/>
                    </w:rPr>
                    <w:t xml:space="preserve"> to unsubscribe from this mailing list. </w:t>
                  </w:r>
                </w:p>
              </w:tc>
            </w:tr>
            <w:tr w:rsidR="0019649C">
              <w:trPr>
                <w:tblCellSpacing w:w="0" w:type="dxa"/>
                <w:jc w:val="center"/>
              </w:trPr>
              <w:tc>
                <w:tcPr>
                  <w:tcW w:w="0" w:type="auto"/>
                  <w:hideMark/>
                </w:tcPr>
                <w:p w:rsidR="0019649C" w:rsidRDefault="0019649C">
                  <w:pPr>
                    <w:jc w:val="right"/>
                    <w:rPr>
                      <w:rFonts w:eastAsia="Times New Roman"/>
                    </w:rPr>
                  </w:pPr>
                  <w:r>
                    <w:rPr>
                      <w:rFonts w:eastAsia="Times New Roman"/>
                      <w:noProof/>
                      <w:color w:val="0000FF"/>
                    </w:rPr>
                    <w:drawing>
                      <wp:inline distT="0" distB="0" distL="0" distR="0">
                        <wp:extent cx="1990725" cy="523875"/>
                        <wp:effectExtent l="0" t="0" r="0" b="0"/>
                        <wp:docPr id="2" name="Picture 2" descr="Powered by VoterVoic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wered by VoterVoi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90725" cy="523875"/>
                                </a:xfrm>
                                <a:prstGeom prst="rect">
                                  <a:avLst/>
                                </a:prstGeom>
                                <a:noFill/>
                                <a:ln>
                                  <a:noFill/>
                                </a:ln>
                              </pic:spPr>
                            </pic:pic>
                          </a:graphicData>
                        </a:graphic>
                      </wp:inline>
                    </w:drawing>
                  </w:r>
                </w:p>
              </w:tc>
            </w:tr>
          </w:tbl>
          <w:p w:rsidR="0019649C" w:rsidRDefault="0019649C">
            <w:pPr>
              <w:jc w:val="center"/>
              <w:rPr>
                <w:rFonts w:ascii="Times New Roman" w:eastAsia="Times New Roman" w:hAnsi="Times New Roman" w:cs="Times New Roman"/>
                <w:sz w:val="20"/>
                <w:szCs w:val="20"/>
              </w:rPr>
            </w:pPr>
          </w:p>
        </w:tc>
      </w:tr>
    </w:tbl>
    <w:p w:rsidR="0019649C" w:rsidRDefault="0019649C" w:rsidP="0019649C">
      <w:pPr>
        <w:rPr>
          <w:rFonts w:eastAsia="Times New Roman"/>
        </w:rPr>
      </w:pPr>
      <w:r>
        <w:rPr>
          <w:rFonts w:eastAsia="Times New Roman"/>
          <w:noProof/>
        </w:rPr>
        <w:drawing>
          <wp:inline distT="0" distB="0" distL="0" distR="0">
            <wp:extent cx="9525" cy="9525"/>
            <wp:effectExtent l="0" t="0" r="0" b="0"/>
            <wp:docPr id="1" name="Picture 1" descr="https://www.votervoice.net/Content/images/pix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votervoice.net/Content/images/pixel.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B5C36" w:rsidRDefault="003B5C36">
      <w:bookmarkStart w:id="0" w:name="_GoBack"/>
      <w:bookmarkEnd w:id="0"/>
    </w:p>
    <w:sectPr w:rsidR="003B5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83B91"/>
    <w:multiLevelType w:val="multilevel"/>
    <w:tmpl w:val="CF86E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E861C5"/>
    <w:multiLevelType w:val="multilevel"/>
    <w:tmpl w:val="2A3CB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AC0401"/>
    <w:multiLevelType w:val="multilevel"/>
    <w:tmpl w:val="969077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616F2B"/>
    <w:multiLevelType w:val="multilevel"/>
    <w:tmpl w:val="265867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F35975"/>
    <w:multiLevelType w:val="multilevel"/>
    <w:tmpl w:val="637A9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9C"/>
    <w:rsid w:val="0019649C"/>
    <w:rsid w:val="003B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EA515-048C-43B7-92DC-0235883E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49C"/>
    <w:pPr>
      <w:spacing w:after="0" w:line="240" w:lineRule="auto"/>
    </w:pPr>
    <w:rPr>
      <w:rFonts w:ascii="Calibri" w:hAnsi="Calibri" w:cs="Calibri"/>
    </w:rPr>
  </w:style>
  <w:style w:type="paragraph" w:styleId="Heading4">
    <w:name w:val="heading 4"/>
    <w:basedOn w:val="Normal"/>
    <w:link w:val="Heading4Char"/>
    <w:uiPriority w:val="9"/>
    <w:semiHidden/>
    <w:unhideWhenUsed/>
    <w:qFormat/>
    <w:rsid w:val="0019649C"/>
    <w:pPr>
      <w:spacing w:before="100" w:beforeAutospacing="1" w:after="100" w:afterAutospacing="1"/>
      <w:outlineLvl w:val="3"/>
    </w:pPr>
    <w:rPr>
      <w:b/>
      <w:bCs/>
      <w:sz w:val="24"/>
      <w:szCs w:val="24"/>
    </w:rPr>
  </w:style>
  <w:style w:type="paragraph" w:styleId="Heading6">
    <w:name w:val="heading 6"/>
    <w:basedOn w:val="Normal"/>
    <w:link w:val="Heading6Char"/>
    <w:uiPriority w:val="9"/>
    <w:semiHidden/>
    <w:unhideWhenUsed/>
    <w:qFormat/>
    <w:rsid w:val="0019649C"/>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9649C"/>
    <w:rPr>
      <w:rFonts w:ascii="Calibri" w:hAnsi="Calibri" w:cs="Calibri"/>
      <w:b/>
      <w:bCs/>
      <w:sz w:val="24"/>
      <w:szCs w:val="24"/>
    </w:rPr>
  </w:style>
  <w:style w:type="character" w:customStyle="1" w:styleId="Heading6Char">
    <w:name w:val="Heading 6 Char"/>
    <w:basedOn w:val="DefaultParagraphFont"/>
    <w:link w:val="Heading6"/>
    <w:uiPriority w:val="9"/>
    <w:semiHidden/>
    <w:rsid w:val="0019649C"/>
    <w:rPr>
      <w:rFonts w:ascii="Calibri" w:hAnsi="Calibri" w:cs="Calibri"/>
      <w:b/>
      <w:bCs/>
      <w:sz w:val="15"/>
      <w:szCs w:val="15"/>
    </w:rPr>
  </w:style>
  <w:style w:type="character" w:styleId="Hyperlink">
    <w:name w:val="Hyperlink"/>
    <w:basedOn w:val="DefaultParagraphFont"/>
    <w:uiPriority w:val="99"/>
    <w:semiHidden/>
    <w:unhideWhenUsed/>
    <w:rsid w:val="0019649C"/>
    <w:rPr>
      <w:color w:val="0000FF"/>
      <w:u w:val="single"/>
    </w:rPr>
  </w:style>
  <w:style w:type="paragraph" w:styleId="NormalWeb">
    <w:name w:val="Normal (Web)"/>
    <w:basedOn w:val="Normal"/>
    <w:uiPriority w:val="99"/>
    <w:semiHidden/>
    <w:unhideWhenUsed/>
    <w:rsid w:val="0019649C"/>
    <w:pPr>
      <w:spacing w:before="100" w:beforeAutospacing="1" w:after="100" w:afterAutospacing="1"/>
    </w:pPr>
  </w:style>
  <w:style w:type="character" w:styleId="Emphasis">
    <w:name w:val="Emphasis"/>
    <w:basedOn w:val="DefaultParagraphFont"/>
    <w:uiPriority w:val="20"/>
    <w:qFormat/>
    <w:rsid w:val="0019649C"/>
    <w:rPr>
      <w:i/>
      <w:iCs/>
    </w:rPr>
  </w:style>
  <w:style w:type="character" w:styleId="Strong">
    <w:name w:val="Strong"/>
    <w:basedOn w:val="DefaultParagraphFont"/>
    <w:uiPriority w:val="22"/>
    <w:qFormat/>
    <w:rsid w:val="0019649C"/>
    <w:rPr>
      <w:b/>
      <w:bCs/>
    </w:rPr>
  </w:style>
  <w:style w:type="paragraph" w:styleId="BalloonText">
    <w:name w:val="Balloon Text"/>
    <w:basedOn w:val="Normal"/>
    <w:link w:val="BalloonTextChar"/>
    <w:uiPriority w:val="99"/>
    <w:semiHidden/>
    <w:unhideWhenUsed/>
    <w:rsid w:val="001964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853824">
      <w:bodyDiv w:val="1"/>
      <w:marLeft w:val="0"/>
      <w:marRight w:val="0"/>
      <w:marTop w:val="0"/>
      <w:marBottom w:val="0"/>
      <w:divBdr>
        <w:top w:val="none" w:sz="0" w:space="0" w:color="auto"/>
        <w:left w:val="none" w:sz="0" w:space="0" w:color="auto"/>
        <w:bottom w:val="none" w:sz="0" w:space="0" w:color="auto"/>
        <w:right w:val="none" w:sz="0" w:space="0" w:color="auto"/>
      </w:divBdr>
      <w:divsChild>
        <w:div w:id="1165247100">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ponline.org/meetings-courses/acp-courses-recordings/acp-leadership-academy/certificate-in-physician-leadership-program" TargetMode="External"/><Relationship Id="rId18" Type="http://schemas.openxmlformats.org/officeDocument/2006/relationships/image" Target="https://d3dkdvqff0zqx.cloudfront.net/groups/nyacp/images/acp%20seal(1).jpg" TargetMode="External"/><Relationship Id="rId26" Type="http://schemas.openxmlformats.org/officeDocument/2006/relationships/hyperlink" Target="mailto:info@nyacp.org" TargetMode="External"/><Relationship Id="rId3" Type="http://schemas.openxmlformats.org/officeDocument/2006/relationships/settings" Target="settings.xml"/><Relationship Id="rId21" Type="http://schemas.openxmlformats.org/officeDocument/2006/relationships/hyperlink" Target="https://register.gotowebinar.com/register/7274916888568969740" TargetMode="External"/><Relationship Id="rId34" Type="http://schemas.openxmlformats.org/officeDocument/2006/relationships/image" Target="media/image6.jpeg"/><Relationship Id="rId7" Type="http://schemas.openxmlformats.org/officeDocument/2006/relationships/hyperlink" Target="https://www.surveymonkey.com/r/PBMTPHP" TargetMode="External"/><Relationship Id="rId12" Type="http://schemas.openxmlformats.org/officeDocument/2006/relationships/image" Target="https://d3dkdvqff0zqx.cloudfront.net/groups/nyacp/images/diverse2.jpg" TargetMode="External"/><Relationship Id="rId17" Type="http://schemas.openxmlformats.org/officeDocument/2006/relationships/hyperlink" Target="https://www.acponline.org/meetings-courses/focused-topics/point-of-care-ultrasound-pocus-for-internal-medicine/point-of-care-ultrasound-training-foundational-skills-for-internists" TargetMode="External"/><Relationship Id="rId25" Type="http://schemas.openxmlformats.org/officeDocument/2006/relationships/hyperlink" Target="https://register.gotowebinar.com/register/3832604367257819404" TargetMode="External"/><Relationship Id="rId33"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acponline.org/cme-moc/online-learning-center" TargetMode="External"/><Relationship Id="rId20" Type="http://schemas.openxmlformats.org/officeDocument/2006/relationships/image" Target="https://d3dkdvqff0zqx.cloudfront.net/groups/nyacp/images/meetings/cost%20of%20care.jpg" TargetMode="External"/><Relationship Id="rId29" Type="http://schemas.openxmlformats.org/officeDocument/2006/relationships/hyperlink" Target="http://www.twitter.com/newyorkacp" TargetMode="External"/><Relationship Id="rId1" Type="http://schemas.openxmlformats.org/officeDocument/2006/relationships/numbering" Target="numbering.xml"/><Relationship Id="rId6" Type="http://schemas.openxmlformats.org/officeDocument/2006/relationships/image" Target="https://d3dkdvqff0zqx.cloudfront.net/groups/nyacp/images/drug%20utilization%20review.jpg" TargetMode="External"/><Relationship Id="rId11" Type="http://schemas.openxmlformats.org/officeDocument/2006/relationships/hyperlink" Target="mailto:smckeown@acponline.org" TargetMode="External"/><Relationship Id="rId24" Type="http://schemas.openxmlformats.org/officeDocument/2006/relationships/hyperlink" Target="https://www.nyacp.org/i4a/forms/index.cfm?id=407" TargetMode="External"/><Relationship Id="rId32" Type="http://schemas.openxmlformats.org/officeDocument/2006/relationships/hyperlink" Target="https://www.votervoice.net/" TargetMode="External"/><Relationship Id="rId5" Type="http://schemas.openxmlformats.org/officeDocument/2006/relationships/image" Target="media/image1.jpeg"/><Relationship Id="rId15" Type="http://schemas.openxmlformats.org/officeDocument/2006/relationships/hyperlink" Target="mailto:lead@acponline.org" TargetMode="External"/><Relationship Id="rId23" Type="http://schemas.openxmlformats.org/officeDocument/2006/relationships/hyperlink" Target="https://register.gotowebinar.com/register/5030201228284034572"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image" Target="https://d3dkdvqff0zqx.cloudfront.net/groups/nyacp/images/dynamed.jpg" TargetMode="External"/><Relationship Id="rId19" Type="http://schemas.openxmlformats.org/officeDocument/2006/relationships/hyperlink" Target="https://acpmeetings.webex.com/acpmeetings/onstage/g.php?MTID=e6fd9e1d6391038fbbbe4cf9a4c6bd96e" TargetMode="External"/><Relationship Id="rId31" Type="http://schemas.openxmlformats.org/officeDocument/2006/relationships/hyperlink" Target="https://www.votervoice.net/NYACP/Subscriptions" TargetMode="External"/><Relationship Id="rId4" Type="http://schemas.openxmlformats.org/officeDocument/2006/relationships/webSettings" Target="webSettings.xml"/><Relationship Id="rId9" Type="http://schemas.openxmlformats.org/officeDocument/2006/relationships/hyperlink" Target="https://www.nyacp.org/i4a/pages/index.cfm?pageid=3796" TargetMode="External"/><Relationship Id="rId14" Type="http://schemas.openxmlformats.org/officeDocument/2006/relationships/hyperlink" Target="https://forms.acponline.org/webform/certificate-physician-leadership-program" TargetMode="External"/><Relationship Id="rId22" Type="http://schemas.openxmlformats.org/officeDocument/2006/relationships/image" Target="media/image2.jpeg"/><Relationship Id="rId27" Type="http://schemas.openxmlformats.org/officeDocument/2006/relationships/hyperlink" Target="http://www.facebook.com/nyacp" TargetMode="External"/><Relationship Id="rId30" Type="http://schemas.openxmlformats.org/officeDocument/2006/relationships/image" Target="media/image4.png"/><Relationship Id="rId35" Type="http://schemas.openxmlformats.org/officeDocument/2006/relationships/fontTable" Target="fontTable.xml"/><Relationship Id="rId8" Type="http://schemas.openxmlformats.org/officeDocument/2006/relationships/image" Target="https://d3dkdvqff0zqx.cloudfront.net/groups/nyacp/images/clip%20art/elderly.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 LaBello</dc:creator>
  <cp:keywords/>
  <dc:description/>
  <cp:lastModifiedBy>Karen Tucker LaBello</cp:lastModifiedBy>
  <cp:revision>1</cp:revision>
  <dcterms:created xsi:type="dcterms:W3CDTF">2019-11-05T20:04:00Z</dcterms:created>
  <dcterms:modified xsi:type="dcterms:W3CDTF">2019-11-05T20:06:00Z</dcterms:modified>
</cp:coreProperties>
</file>